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8FE9B2" w14:textId="62246983" w:rsidR="004C1E1B" w:rsidRDefault="00000000" w:rsidP="00B223C3">
      <w:pPr>
        <w:widowControl w:val="0"/>
        <w:spacing w:before="14" w:after="0" w:line="204" w:lineRule="auto"/>
        <w:ind w:left="-540" w:right="18" w:hanging="180"/>
        <w:rPr>
          <w:b/>
          <w:bCs/>
          <w:sz w:val="22"/>
          <w:szCs w:val="22"/>
        </w:rPr>
      </w:pPr>
      <w:r>
        <w:rPr>
          <w:noProof/>
        </w:rPr>
        <w:drawing>
          <wp:inline distT="0" distB="0" distL="114300" distR="114300" wp14:anchorId="4B842E25" wp14:editId="28EB0E8B">
            <wp:extent cx="7051855" cy="7434596"/>
            <wp:effectExtent l="0" t="0" r="0" b="0"/>
            <wp:docPr id="3985812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t="5712" b="12851"/>
                    <a:stretch>
                      <a:fillRect/>
                    </a:stretch>
                  </pic:blipFill>
                  <pic:spPr>
                    <a:xfrm>
                      <a:off x="0" y="0"/>
                      <a:ext cx="7051855" cy="7434596"/>
                    </a:xfrm>
                    <a:prstGeom prst="rect">
                      <a:avLst/>
                    </a:prstGeom>
                    <a:ln/>
                  </pic:spPr>
                </pic:pic>
              </a:graphicData>
            </a:graphic>
          </wp:inline>
        </w:drawing>
      </w:r>
      <w:r>
        <w:tab/>
      </w:r>
      <w:r>
        <w:rPr>
          <w:b/>
          <w:bCs/>
          <w:sz w:val="22"/>
          <w:szCs w:val="22"/>
        </w:rPr>
        <w:t xml:space="preserve">Please see additional Important Safety Information after the template. </w:t>
      </w:r>
    </w:p>
    <w:p w14:paraId="08051C39" w14:textId="77777777" w:rsidR="004C1E1B" w:rsidRDefault="00000000" w:rsidP="00B223C3">
      <w:pPr>
        <w:widowControl w:val="0"/>
        <w:spacing w:before="14" w:after="0" w:line="204" w:lineRule="auto"/>
        <w:ind w:right="18"/>
      </w:pPr>
      <w:r>
        <w:rPr>
          <w:b/>
          <w:bCs/>
          <w:color w:val="000000"/>
          <w:sz w:val="22"/>
          <w:szCs w:val="22"/>
        </w:rPr>
        <w:t>Please click</w:t>
      </w:r>
      <w:r>
        <w:rPr>
          <w:b/>
          <w:bCs/>
          <w:sz w:val="20"/>
          <w:szCs w:val="20"/>
        </w:rPr>
        <w:t xml:space="preserve"> </w:t>
      </w:r>
      <w:hyperlink r:id="rId9">
        <w:r>
          <w:rPr>
            <w:b/>
            <w:bCs/>
            <w:color w:val="467886"/>
            <w:sz w:val="22"/>
            <w:szCs w:val="22"/>
            <w:u w:val="single"/>
          </w:rPr>
          <w:t>here</w:t>
        </w:r>
      </w:hyperlink>
      <w:r>
        <w:rPr>
          <w:b/>
          <w:bCs/>
          <w:color w:val="000000"/>
          <w:sz w:val="22"/>
          <w:szCs w:val="22"/>
        </w:rPr>
        <w:t xml:space="preserve"> for Full Prescribing Information for EXXUA.</w:t>
      </w:r>
      <w:r>
        <w:br w:type="page"/>
      </w:r>
    </w:p>
    <w:p w14:paraId="47185FEB" w14:textId="77777777" w:rsidR="004C1E1B" w:rsidRDefault="004C1E1B">
      <w:pPr>
        <w:widowControl w:val="0"/>
        <w:spacing w:before="14" w:after="0" w:line="204" w:lineRule="auto"/>
        <w:ind w:left="-1440" w:right="18"/>
      </w:pPr>
    </w:p>
    <w:p w14:paraId="0D249078" w14:textId="77777777" w:rsidR="004C1E1B" w:rsidRDefault="00000000">
      <w:pPr>
        <w:widowControl w:val="0"/>
        <w:spacing w:before="14" w:after="0" w:line="204" w:lineRule="auto"/>
        <w:rPr>
          <w:color w:val="333333"/>
        </w:rPr>
      </w:pPr>
      <w:r>
        <w:rPr>
          <w:color w:val="333333"/>
        </w:rPr>
        <w:t>[</w:t>
      </w:r>
      <w:r>
        <w:rPr>
          <w:color w:val="FF40FF"/>
        </w:rPr>
        <w:t>Your practice’s letterhead.</w:t>
      </w:r>
      <w:r>
        <w:t>]</w:t>
      </w:r>
    </w:p>
    <w:p w14:paraId="4EC6F3C1" w14:textId="77777777" w:rsidR="004C1E1B" w:rsidRDefault="00000000">
      <w:pPr>
        <w:shd w:val="clear" w:color="auto" w:fill="FFFFFF"/>
        <w:spacing w:before="450" w:after="0"/>
        <w:ind w:right="1260"/>
        <w:rPr>
          <w:color w:val="333333"/>
        </w:rPr>
      </w:pPr>
      <w:r>
        <w:rPr>
          <w:color w:val="333333"/>
        </w:rPr>
        <w:t>[</w:t>
      </w:r>
      <w:r>
        <w:rPr>
          <w:color w:val="FF40FF"/>
        </w:rPr>
        <w:t>Date</w:t>
      </w:r>
      <w:r>
        <w:rPr>
          <w:color w:val="333333"/>
        </w:rPr>
        <w:t>]</w:t>
      </w:r>
    </w:p>
    <w:p w14:paraId="41821ABD" w14:textId="77777777" w:rsidR="004C1E1B" w:rsidRDefault="00000000">
      <w:pPr>
        <w:shd w:val="clear" w:color="auto" w:fill="FFFFFF"/>
        <w:spacing w:before="450" w:after="0"/>
        <w:ind w:right="1260"/>
        <w:rPr>
          <w:color w:val="000000"/>
        </w:rPr>
      </w:pPr>
      <w:r>
        <w:rPr>
          <w:color w:val="333333"/>
        </w:rPr>
        <w:t>[</w:t>
      </w:r>
      <w:r>
        <w:rPr>
          <w:color w:val="FF40FF"/>
        </w:rPr>
        <w:t>Payer’s name</w:t>
      </w:r>
      <w:r>
        <w:rPr>
          <w:color w:val="333333"/>
        </w:rPr>
        <w:t>]</w:t>
      </w:r>
      <w:r>
        <w:br/>
      </w:r>
      <w:r>
        <w:rPr>
          <w:color w:val="333333"/>
        </w:rPr>
        <w:t>[</w:t>
      </w:r>
      <w:r>
        <w:rPr>
          <w:color w:val="FF40FF"/>
        </w:rPr>
        <w:t>Payer’s address</w:t>
      </w:r>
      <w:r>
        <w:rPr>
          <w:color w:val="333333"/>
        </w:rPr>
        <w:t>]</w:t>
      </w:r>
      <w:r>
        <w:br/>
      </w:r>
      <w:r>
        <w:rPr>
          <w:color w:val="000000"/>
        </w:rPr>
        <w:t>Attention:</w:t>
      </w:r>
      <w:r>
        <w:rPr>
          <w:color w:val="333333"/>
        </w:rPr>
        <w:t xml:space="preserve"> [</w:t>
      </w:r>
      <w:r>
        <w:rPr>
          <w:color w:val="FF40FF"/>
        </w:rPr>
        <w:t>Medical review/Appeals department</w:t>
      </w:r>
      <w:r>
        <w:rPr>
          <w:color w:val="333333"/>
        </w:rPr>
        <w:t>]</w:t>
      </w:r>
      <w:r>
        <w:br/>
      </w:r>
      <w:r>
        <w:rPr>
          <w:color w:val="000000"/>
        </w:rPr>
        <w:t>RE: Denied claim for EXXUA</w:t>
      </w:r>
      <w:r>
        <w:rPr>
          <w:color w:val="000000"/>
          <w:vertAlign w:val="superscript"/>
        </w:rPr>
        <w:t>TM</w:t>
      </w:r>
      <w:r>
        <w:rPr>
          <w:color w:val="000000"/>
        </w:rPr>
        <w:t xml:space="preserve"> (</w:t>
      </w:r>
      <w:proofErr w:type="spellStart"/>
      <w:r>
        <w:rPr>
          <w:color w:val="000000"/>
        </w:rPr>
        <w:t>gepirone</w:t>
      </w:r>
      <w:proofErr w:type="spellEnd"/>
      <w:r>
        <w:rPr>
          <w:color w:val="000000"/>
        </w:rPr>
        <w:t>)</w:t>
      </w:r>
    </w:p>
    <w:p w14:paraId="3748A684" w14:textId="77777777" w:rsidR="004C1E1B" w:rsidRDefault="00000000">
      <w:pPr>
        <w:shd w:val="clear" w:color="auto" w:fill="FFFFFF"/>
        <w:spacing w:before="450" w:after="0"/>
        <w:ind w:right="1260"/>
        <w:rPr>
          <w:color w:val="333333"/>
        </w:rPr>
      </w:pPr>
      <w:r>
        <w:rPr>
          <w:color w:val="000000"/>
        </w:rPr>
        <w:t xml:space="preserve">Patient name: </w:t>
      </w:r>
      <w:r>
        <w:rPr>
          <w:color w:val="333333"/>
        </w:rPr>
        <w:t>[</w:t>
      </w:r>
      <w:r>
        <w:rPr>
          <w:color w:val="FF40FF"/>
        </w:rPr>
        <w:t>Patient’s name</w:t>
      </w:r>
      <w:r>
        <w:rPr>
          <w:color w:val="333333"/>
        </w:rPr>
        <w:t>]</w:t>
      </w:r>
      <w:r>
        <w:br/>
      </w:r>
      <w:r>
        <w:rPr>
          <w:color w:val="000000"/>
        </w:rPr>
        <w:t xml:space="preserve">Patient date of birth: </w:t>
      </w:r>
      <w:r>
        <w:rPr>
          <w:color w:val="333333"/>
        </w:rPr>
        <w:t>[</w:t>
      </w:r>
      <w:r>
        <w:rPr>
          <w:color w:val="FF40FF"/>
        </w:rPr>
        <w:t>Patient’s date of birth</w:t>
      </w:r>
      <w:r>
        <w:rPr>
          <w:color w:val="333333"/>
        </w:rPr>
        <w:t>]</w:t>
      </w:r>
      <w:r>
        <w:br/>
      </w:r>
      <w:r>
        <w:rPr>
          <w:color w:val="000000"/>
        </w:rPr>
        <w:t xml:space="preserve">Patient group/policy ID number: </w:t>
      </w:r>
      <w:r>
        <w:rPr>
          <w:color w:val="333333"/>
        </w:rPr>
        <w:t>[</w:t>
      </w:r>
      <w:r>
        <w:rPr>
          <w:color w:val="FF40FF"/>
        </w:rPr>
        <w:t>Patient’s group/policy ID number</w:t>
      </w:r>
      <w:r>
        <w:rPr>
          <w:color w:val="333333"/>
        </w:rPr>
        <w:t>]</w:t>
      </w:r>
      <w:r>
        <w:br/>
      </w:r>
      <w:r>
        <w:rPr>
          <w:color w:val="000000"/>
        </w:rPr>
        <w:t>Policyholder name:</w:t>
      </w:r>
      <w:r>
        <w:rPr>
          <w:color w:val="333333"/>
        </w:rPr>
        <w:t xml:space="preserve"> [</w:t>
      </w:r>
      <w:r>
        <w:rPr>
          <w:color w:val="FF40FF"/>
        </w:rPr>
        <w:t>Policyholder name</w:t>
      </w:r>
      <w:r>
        <w:rPr>
          <w:color w:val="333333"/>
        </w:rPr>
        <w:t>]</w:t>
      </w:r>
      <w:r>
        <w:br/>
      </w:r>
      <w:r>
        <w:rPr>
          <w:color w:val="000000"/>
        </w:rPr>
        <w:t>Provider ID number:</w:t>
      </w:r>
      <w:r>
        <w:rPr>
          <w:color w:val="333333"/>
        </w:rPr>
        <w:t xml:space="preserve"> [</w:t>
      </w:r>
      <w:r>
        <w:rPr>
          <w:color w:val="FF40FF"/>
        </w:rPr>
        <w:t>Provider ID number</w:t>
      </w:r>
      <w:r>
        <w:rPr>
          <w:color w:val="333333"/>
        </w:rPr>
        <w:t>]</w:t>
      </w:r>
    </w:p>
    <w:p w14:paraId="7928F855" w14:textId="77777777" w:rsidR="004C1E1B" w:rsidRDefault="00000000">
      <w:pPr>
        <w:shd w:val="clear" w:color="auto" w:fill="FFFFFF"/>
        <w:spacing w:before="450" w:after="0"/>
        <w:ind w:right="1260"/>
        <w:rPr>
          <w:color w:val="333333"/>
        </w:rPr>
      </w:pPr>
      <w:r>
        <w:rPr>
          <w:color w:val="333333"/>
        </w:rPr>
        <w:t>Dear [</w:t>
      </w:r>
      <w:r>
        <w:rPr>
          <w:color w:val="FF40FF"/>
        </w:rPr>
        <w:t>Contact name/medical director</w:t>
      </w:r>
      <w:r>
        <w:rPr>
          <w:color w:val="333333"/>
        </w:rPr>
        <w:t>]:</w:t>
      </w:r>
    </w:p>
    <w:p w14:paraId="33CBC1AD" w14:textId="77777777" w:rsidR="004C1E1B" w:rsidRDefault="004C1E1B">
      <w:pPr>
        <w:shd w:val="clear" w:color="auto" w:fill="FFFFFF"/>
        <w:spacing w:after="0"/>
        <w:ind w:right="1260"/>
        <w:rPr>
          <w:color w:val="333333"/>
        </w:rPr>
      </w:pPr>
    </w:p>
    <w:p w14:paraId="2AD1D9CC" w14:textId="77777777" w:rsidR="004C1E1B" w:rsidRDefault="00000000">
      <w:pPr>
        <w:spacing w:after="0"/>
        <w:rPr>
          <w:color w:val="000000"/>
        </w:rPr>
      </w:pPr>
      <w:r>
        <w:rPr>
          <w:color w:val="000000"/>
        </w:rPr>
        <w:t>I am writing on behalf of my patient,</w:t>
      </w:r>
      <w:r>
        <w:rPr>
          <w:color w:val="333333"/>
        </w:rPr>
        <w:t xml:space="preserve"> [</w:t>
      </w:r>
      <w:r>
        <w:rPr>
          <w:color w:val="FF40FF"/>
        </w:rPr>
        <w:t>patient name</w:t>
      </w:r>
      <w:r>
        <w:rPr>
          <w:color w:val="333333"/>
        </w:rPr>
        <w:t>]</w:t>
      </w:r>
      <w:r>
        <w:rPr>
          <w:color w:val="000000"/>
        </w:rPr>
        <w:t>, to appeal the denied claim they received for coverage of EXXUA, which is indicated for the treatment of adults with major depressive disorder (MDD).</w:t>
      </w:r>
    </w:p>
    <w:p w14:paraId="4F9D39AE" w14:textId="77777777" w:rsidR="004C1E1B" w:rsidRDefault="004C1E1B">
      <w:pPr>
        <w:spacing w:after="0"/>
      </w:pPr>
    </w:p>
    <w:p w14:paraId="5DBAA87E" w14:textId="77777777" w:rsidR="004C1E1B" w:rsidRDefault="00000000">
      <w:pPr>
        <w:spacing w:after="0"/>
        <w:rPr>
          <w:rFonts w:ascii="Helvetica Neue" w:eastAsia="Helvetica Neue" w:hAnsi="Helvetica Neue" w:cs="Helvetica Neue"/>
          <w:color w:val="000000"/>
        </w:rPr>
      </w:pPr>
      <w:r>
        <w:rPr>
          <w:color w:val="000000"/>
        </w:rPr>
        <w:t>I understand that the reason for your denial is</w:t>
      </w:r>
      <w:r>
        <w:rPr>
          <w:rFonts w:ascii="Helvetica Neue" w:eastAsia="Helvetica Neue" w:hAnsi="Helvetica Neue" w:cs="Helvetica Neue"/>
          <w:sz w:val="22"/>
          <w:szCs w:val="22"/>
        </w:rPr>
        <w:t xml:space="preserve"> [</w:t>
      </w:r>
      <w:r>
        <w:rPr>
          <w:color w:val="FF40FF"/>
        </w:rPr>
        <w:t>copy reason verbatim from the plan’s denial letter</w:t>
      </w:r>
      <w:r>
        <w:rPr>
          <w:rFonts w:ascii="Helvetica Neue" w:eastAsia="Helvetica Neue" w:hAnsi="Helvetica Neue" w:cs="Helvetica Neue"/>
          <w:sz w:val="22"/>
          <w:szCs w:val="22"/>
        </w:rPr>
        <w:t xml:space="preserve">]. </w:t>
      </w:r>
      <w:r>
        <w:rPr>
          <w:color w:val="000000"/>
        </w:rPr>
        <w:t xml:space="preserve">However, I believe that EXXUA is the appropriate and medically necessary treatment for my patient </w:t>
      </w:r>
      <w:proofErr w:type="gramStart"/>
      <w:r>
        <w:rPr>
          <w:color w:val="000000"/>
        </w:rPr>
        <w:t>at this time</w:t>
      </w:r>
      <w:proofErr w:type="gramEnd"/>
      <w:r>
        <w:rPr>
          <w:color w:val="000000"/>
        </w:rPr>
        <w:t>. In support of my recommendation for treatment with EXXUA, I have provided an overview of my patient’s relevant clinical history below.</w:t>
      </w:r>
    </w:p>
    <w:p w14:paraId="5CDED345" w14:textId="77777777" w:rsidR="004C1E1B" w:rsidRDefault="00000000">
      <w:pPr>
        <w:shd w:val="clear" w:color="auto" w:fill="FFFFFF"/>
        <w:spacing w:before="450" w:after="0"/>
        <w:ind w:right="1260"/>
        <w:rPr>
          <w:color w:val="FF40FF"/>
        </w:rPr>
      </w:pPr>
      <w:r>
        <w:rPr>
          <w:b/>
          <w:bCs/>
          <w:color w:val="333333"/>
        </w:rPr>
        <w:t>Summary of patient’s clinical history:</w:t>
      </w:r>
      <w:r>
        <w:rPr>
          <w:color w:val="333333"/>
        </w:rPr>
        <w:t xml:space="preserve"> </w:t>
      </w:r>
      <w:r>
        <w:br/>
      </w:r>
      <w:r>
        <w:br/>
      </w:r>
      <w:r>
        <w:rPr>
          <w:color w:val="333333"/>
        </w:rPr>
        <w:t>[</w:t>
      </w:r>
      <w:r>
        <w:rPr>
          <w:color w:val="FF40FF"/>
        </w:rPr>
        <w:t>Patient name</w:t>
      </w:r>
      <w:r>
        <w:rPr>
          <w:color w:val="333333"/>
        </w:rPr>
        <w:t xml:space="preserve">] </w:t>
      </w:r>
      <w:r>
        <w:rPr>
          <w:color w:val="000000"/>
        </w:rPr>
        <w:t xml:space="preserve">is </w:t>
      </w:r>
      <w:r>
        <w:rPr>
          <w:color w:val="333333"/>
        </w:rPr>
        <w:t>[</w:t>
      </w:r>
      <w:r>
        <w:rPr>
          <w:color w:val="FF40FF"/>
        </w:rPr>
        <w:t>age</w:t>
      </w:r>
      <w:r>
        <w:rPr>
          <w:color w:val="333333"/>
        </w:rPr>
        <w:t xml:space="preserve">] </w:t>
      </w:r>
      <w:r>
        <w:rPr>
          <w:color w:val="000000"/>
        </w:rPr>
        <w:t xml:space="preserve">years old and was diagnosed with </w:t>
      </w:r>
      <w:r>
        <w:rPr>
          <w:color w:val="333333"/>
        </w:rPr>
        <w:t>[</w:t>
      </w:r>
      <w:r>
        <w:rPr>
          <w:color w:val="FF40FF"/>
        </w:rPr>
        <w:t>patient’s diagnosis with ICD-10 code</w:t>
      </w:r>
      <w:r>
        <w:rPr>
          <w:color w:val="333333"/>
        </w:rPr>
        <w:t xml:space="preserve">] </w:t>
      </w:r>
      <w:r>
        <w:rPr>
          <w:color w:val="000000"/>
        </w:rPr>
        <w:t>on</w:t>
      </w:r>
      <w:r>
        <w:rPr>
          <w:color w:val="333333"/>
        </w:rPr>
        <w:t xml:space="preserve"> [</w:t>
      </w:r>
      <w:r>
        <w:rPr>
          <w:color w:val="FF40FF"/>
        </w:rPr>
        <w:t>date</w:t>
      </w:r>
      <w:r>
        <w:rPr>
          <w:color w:val="333333"/>
        </w:rPr>
        <w:t>]. [</w:t>
      </w:r>
      <w:r>
        <w:rPr>
          <w:color w:val="FF40FF"/>
        </w:rPr>
        <w:t>Patient name</w:t>
      </w:r>
      <w:r>
        <w:rPr>
          <w:color w:val="333333"/>
        </w:rPr>
        <w:t xml:space="preserve">] </w:t>
      </w:r>
      <w:r>
        <w:rPr>
          <w:color w:val="000000"/>
        </w:rPr>
        <w:t>has been in my care</w:t>
      </w:r>
      <w:r>
        <w:rPr>
          <w:color w:val="333333"/>
        </w:rPr>
        <w:t xml:space="preserve"> </w:t>
      </w:r>
      <w:r>
        <w:rPr>
          <w:color w:val="000000"/>
        </w:rPr>
        <w:t xml:space="preserve">since </w:t>
      </w:r>
      <w:r>
        <w:rPr>
          <w:color w:val="333333"/>
        </w:rPr>
        <w:t>[</w:t>
      </w:r>
      <w:r>
        <w:rPr>
          <w:color w:val="FF40FF"/>
        </w:rPr>
        <w:t>date</w:t>
      </w:r>
      <w:r>
        <w:rPr>
          <w:color w:val="333333"/>
        </w:rPr>
        <w:t>].</w:t>
      </w:r>
    </w:p>
    <w:p w14:paraId="6B5BF4AD" w14:textId="77777777" w:rsidR="004C1E1B" w:rsidRDefault="004C1E1B">
      <w:pPr>
        <w:spacing w:after="0"/>
      </w:pPr>
    </w:p>
    <w:p w14:paraId="41C67F4B" w14:textId="77777777" w:rsidR="004C1E1B" w:rsidRDefault="00000000">
      <w:pPr>
        <w:spacing w:after="0"/>
        <w:rPr>
          <w:color w:val="333333"/>
        </w:rPr>
      </w:pPr>
      <w:r>
        <w:rPr>
          <w:color w:val="000000"/>
        </w:rPr>
        <w:t xml:space="preserve">Relevant details of my patient’s clinical history are the following: </w:t>
      </w:r>
      <w:r>
        <w:t>[</w:t>
      </w:r>
      <w:r>
        <w:rPr>
          <w:color w:val="FF40FF"/>
        </w:rPr>
        <w:t xml:space="preserve">include a brief disease course of patient, including history of disease, symptoms, quality of life, functional impairments, and previous and current treatments (including dates of use, reasons for </w:t>
      </w:r>
      <w:r>
        <w:rPr>
          <w:color w:val="FF40FF"/>
        </w:rPr>
        <w:lastRenderedPageBreak/>
        <w:t>stopping). Additional information may include intolerable side effects, ongoing symptoms and conditions, changes in patient assessment of condition, and the patient’s inadequate or loss of response to other treatments. Consider referencing any relevant medical reports, test results, or clinical notes for support.</w:t>
      </w:r>
      <w:r>
        <w:t>]</w:t>
      </w:r>
    </w:p>
    <w:p w14:paraId="770E300B" w14:textId="77777777" w:rsidR="004C1E1B" w:rsidRDefault="00000000">
      <w:pPr>
        <w:shd w:val="clear" w:color="auto" w:fill="FFFFFF"/>
        <w:spacing w:before="450" w:after="0"/>
        <w:ind w:right="1260"/>
        <w:rPr>
          <w:b/>
          <w:bCs/>
          <w:color w:val="333333"/>
        </w:rPr>
      </w:pPr>
      <w:r>
        <w:rPr>
          <w:b/>
          <w:bCs/>
          <w:color w:val="333333"/>
        </w:rPr>
        <w:t>Treatment plan and rationale:</w:t>
      </w:r>
    </w:p>
    <w:p w14:paraId="765600FE" w14:textId="77777777" w:rsidR="004C1E1B" w:rsidRDefault="004C1E1B">
      <w:pPr>
        <w:spacing w:after="0"/>
      </w:pPr>
    </w:p>
    <w:p w14:paraId="5C70F8CC" w14:textId="77777777" w:rsidR="004C1E1B" w:rsidRDefault="00000000">
      <w:pPr>
        <w:spacing w:after="0"/>
      </w:pPr>
      <w:r>
        <w:t>In my clinical opinion, [</w:t>
      </w:r>
      <w:r>
        <w:rPr>
          <w:color w:val="FF40FF"/>
        </w:rPr>
        <w:t>patient’s name</w:t>
      </w:r>
      <w:r>
        <w:t>]</w:t>
      </w:r>
      <w:r>
        <w:rPr>
          <w:color w:val="FF40FF"/>
        </w:rPr>
        <w:t xml:space="preserve"> </w:t>
      </w:r>
      <w:r>
        <w:rPr>
          <w:color w:val="000000"/>
        </w:rPr>
        <w:t xml:space="preserve">should receive EXXUA for the following reasons: </w:t>
      </w:r>
    </w:p>
    <w:p w14:paraId="750592EE" w14:textId="77777777" w:rsidR="004C1E1B" w:rsidRDefault="00000000">
      <w:pPr>
        <w:shd w:val="clear" w:color="auto" w:fill="FFFFFF"/>
        <w:spacing w:before="450" w:after="0"/>
        <w:ind w:right="1260"/>
        <w:rPr>
          <w:color w:val="333333"/>
        </w:rPr>
      </w:pPr>
      <w:r>
        <w:rPr>
          <w:color w:val="333333"/>
        </w:rPr>
        <w:t>[</w:t>
      </w:r>
      <w:r>
        <w:rPr>
          <w:color w:val="FF40FF"/>
        </w:rPr>
        <w:t>Present rationale for prescribing EXXUA using supporting research, medical treatment guidelines, and clinical evidence to substantiate the recommendation. Consider including potential risks that could be incurred by not starting the recommended treatment.</w:t>
      </w:r>
      <w:r>
        <w:t>]</w:t>
      </w:r>
    </w:p>
    <w:p w14:paraId="71E2B915" w14:textId="77777777" w:rsidR="004C1E1B" w:rsidRDefault="004C1E1B">
      <w:pPr>
        <w:spacing w:after="0"/>
        <w:rPr>
          <w:color w:val="000000"/>
        </w:rPr>
      </w:pPr>
    </w:p>
    <w:p w14:paraId="21E347CD" w14:textId="77777777" w:rsidR="004C1E1B" w:rsidRDefault="00000000">
      <w:pPr>
        <w:spacing w:after="0"/>
        <w:rPr>
          <w:color w:val="333333"/>
        </w:rPr>
      </w:pPr>
      <w:r>
        <w:t>Relevant documents listed below are enclosed, which offer additional support for the formulary exception request for EXXUA.</w:t>
      </w:r>
    </w:p>
    <w:p w14:paraId="27464FFA" w14:textId="77777777" w:rsidR="004C1E1B" w:rsidRDefault="004C1E1B">
      <w:pPr>
        <w:spacing w:after="0"/>
        <w:rPr>
          <w:color w:val="333333"/>
        </w:rPr>
      </w:pPr>
    </w:p>
    <w:p w14:paraId="4F76EEC1" w14:textId="77777777" w:rsidR="004C1E1B" w:rsidRDefault="00000000">
      <w:pPr>
        <w:spacing w:after="0"/>
        <w:rPr>
          <w:color w:val="333333"/>
        </w:rPr>
      </w:pPr>
      <w:r>
        <w:t>I hope you will reconsider coverage of EXXUA for my patient.</w:t>
      </w:r>
      <w:r>
        <w:rPr>
          <w:color w:val="333333"/>
        </w:rPr>
        <w:t xml:space="preserve"> </w:t>
      </w:r>
      <w:r>
        <w:rPr>
          <w:color w:val="000000"/>
        </w:rPr>
        <w:t xml:space="preserve">If you have any questions, you can reach me at </w:t>
      </w:r>
      <w:r>
        <w:rPr>
          <w:color w:val="333333"/>
        </w:rPr>
        <w:t>[</w:t>
      </w:r>
      <w:r>
        <w:rPr>
          <w:color w:val="FF40FF"/>
        </w:rPr>
        <w:t>phone number</w:t>
      </w:r>
      <w:r>
        <w:rPr>
          <w:color w:val="333333"/>
        </w:rPr>
        <w:t xml:space="preserve">] </w:t>
      </w:r>
      <w:r>
        <w:rPr>
          <w:color w:val="000000"/>
        </w:rPr>
        <w:t>or via email at</w:t>
      </w:r>
      <w:r>
        <w:rPr>
          <w:color w:val="333333"/>
        </w:rPr>
        <w:t xml:space="preserve"> [</w:t>
      </w:r>
      <w:r>
        <w:rPr>
          <w:color w:val="FF40FF"/>
        </w:rPr>
        <w:t>email address</w:t>
      </w:r>
      <w:r>
        <w:rPr>
          <w:color w:val="333333"/>
        </w:rPr>
        <w:t>].</w:t>
      </w:r>
    </w:p>
    <w:p w14:paraId="20B24027" w14:textId="77777777" w:rsidR="004C1E1B" w:rsidRDefault="00000000">
      <w:pPr>
        <w:shd w:val="clear" w:color="auto" w:fill="FFFFFF"/>
        <w:spacing w:before="450" w:after="0"/>
        <w:ind w:right="1260"/>
        <w:rPr>
          <w:color w:val="000000"/>
        </w:rPr>
      </w:pPr>
      <w:r>
        <w:rPr>
          <w:color w:val="000000"/>
        </w:rPr>
        <w:t>Thank you for your time and consideration.</w:t>
      </w:r>
    </w:p>
    <w:p w14:paraId="7153CA11" w14:textId="77777777" w:rsidR="004C1E1B" w:rsidRDefault="00000000">
      <w:pPr>
        <w:shd w:val="clear" w:color="auto" w:fill="FFFFFF"/>
        <w:spacing w:before="450" w:after="0"/>
        <w:ind w:right="1260"/>
        <w:rPr>
          <w:color w:val="333333"/>
        </w:rPr>
      </w:pPr>
      <w:r>
        <w:rPr>
          <w:color w:val="000000"/>
        </w:rPr>
        <w:t>Sincerely</w:t>
      </w:r>
      <w:r>
        <w:rPr>
          <w:color w:val="333333"/>
        </w:rPr>
        <w:t>,</w:t>
      </w:r>
      <w:r>
        <w:br/>
      </w:r>
      <w:r>
        <w:rPr>
          <w:color w:val="000000"/>
        </w:rPr>
        <w:t>[</w:t>
      </w:r>
      <w:r>
        <w:rPr>
          <w:color w:val="FF40FF"/>
        </w:rPr>
        <w:t>Physician's signature</w:t>
      </w:r>
      <w:r>
        <w:rPr>
          <w:color w:val="333333"/>
        </w:rPr>
        <w:t>]</w:t>
      </w:r>
      <w:r>
        <w:br/>
      </w:r>
      <w:r>
        <w:rPr>
          <w:color w:val="333333"/>
        </w:rPr>
        <w:t>[</w:t>
      </w:r>
      <w:r>
        <w:rPr>
          <w:color w:val="FF40FF"/>
        </w:rPr>
        <w:t>Physician's typed name and credentials</w:t>
      </w:r>
      <w:r>
        <w:rPr>
          <w:color w:val="333333"/>
        </w:rPr>
        <w:t>]</w:t>
      </w:r>
    </w:p>
    <w:p w14:paraId="367BED54" w14:textId="77777777" w:rsidR="004C1E1B" w:rsidRDefault="00000000">
      <w:pPr>
        <w:shd w:val="clear" w:color="auto" w:fill="FFFFFF"/>
        <w:spacing w:before="450" w:after="0"/>
        <w:ind w:right="1260"/>
        <w:rPr>
          <w:b/>
          <w:bCs/>
          <w:color w:val="333333"/>
        </w:rPr>
      </w:pPr>
      <w:r>
        <w:rPr>
          <w:b/>
          <w:bCs/>
          <w:color w:val="333333"/>
        </w:rPr>
        <w:t xml:space="preserve"> Enclosures:</w:t>
      </w:r>
    </w:p>
    <w:p w14:paraId="4B4C92CC" w14:textId="77777777" w:rsidR="004C1E1B" w:rsidRDefault="00000000">
      <w:pPr>
        <w:shd w:val="clear" w:color="auto" w:fill="FFFFFF"/>
        <w:spacing w:before="450" w:after="0"/>
      </w:pPr>
      <w:bookmarkStart w:id="0" w:name="_heading=h.7zixbxabdxkw" w:colFirst="0" w:colLast="0"/>
      <w:bookmarkEnd w:id="0"/>
      <w:r>
        <w:rPr>
          <w:color w:val="333333"/>
        </w:rPr>
        <w:t>[</w:t>
      </w:r>
      <w:r>
        <w:rPr>
          <w:color w:val="FF40FF"/>
        </w:rPr>
        <w:t xml:space="preserve">List of enclosures, which may </w:t>
      </w:r>
      <w:proofErr w:type="gramStart"/>
      <w:r>
        <w:rPr>
          <w:color w:val="FF40FF"/>
        </w:rPr>
        <w:t>include:</w:t>
      </w:r>
      <w:proofErr w:type="gramEnd"/>
      <w:r>
        <w:rPr>
          <w:color w:val="FF40FF"/>
        </w:rPr>
        <w:t xml:space="preserve"> explanation of benefits/denial letter, original insurance claim form, letter of medical necessity, clinical notes, medical records, diagnostic test results, supportive research studies, EXXUA Prescribing Information</w:t>
      </w:r>
      <w:r>
        <w:rPr>
          <w:color w:val="333333"/>
        </w:rPr>
        <w:t>]</w:t>
      </w:r>
    </w:p>
    <w:p w14:paraId="53A8696F" w14:textId="77777777" w:rsidR="004C1E1B" w:rsidRDefault="00000000">
      <w:r>
        <w:br w:type="page"/>
      </w:r>
    </w:p>
    <w:p w14:paraId="7EE1B28B" w14:textId="77777777" w:rsidR="004C1E1B" w:rsidRDefault="00000000">
      <w:pPr>
        <w:shd w:val="clear" w:color="auto" w:fill="FFFFFF"/>
        <w:spacing w:before="450" w:after="0"/>
        <w:ind w:firstLine="393"/>
        <w:rPr>
          <w:color w:val="000000"/>
          <w:sz w:val="22"/>
          <w:szCs w:val="22"/>
        </w:rPr>
      </w:pPr>
      <w:r>
        <w:rPr>
          <w:b/>
          <w:bCs/>
          <w:color w:val="000000"/>
          <w:sz w:val="22"/>
          <w:szCs w:val="22"/>
        </w:rPr>
        <w:lastRenderedPageBreak/>
        <w:t>IMPORTANT SAFETY INFORMATION</w:t>
      </w:r>
    </w:p>
    <w:p w14:paraId="338B7BED" w14:textId="77777777" w:rsidR="004C1E1B" w:rsidRDefault="004C1E1B">
      <w:pPr>
        <w:ind w:right="-101"/>
        <w:rPr>
          <w:color w:val="000000"/>
          <w:sz w:val="22"/>
          <w:szCs w:val="22"/>
        </w:rPr>
      </w:pPr>
    </w:p>
    <w:p w14:paraId="091E0F7D" w14:textId="77777777" w:rsidR="004C1E1B" w:rsidRDefault="00000000">
      <w:pPr>
        <w:pStyle w:val="Heading3"/>
        <w:pBdr>
          <w:top w:val="single" w:sz="4" w:space="4" w:color="000000"/>
          <w:left w:val="single" w:sz="4" w:space="4" w:color="000000"/>
          <w:bottom w:val="single" w:sz="4" w:space="4" w:color="000000"/>
          <w:right w:val="single" w:sz="4" w:space="4" w:color="000000"/>
        </w:pBdr>
        <w:shd w:val="clear" w:color="auto" w:fill="FFFFFF"/>
        <w:spacing w:before="0" w:after="0"/>
        <w:ind w:left="360"/>
        <w:jc w:val="center"/>
        <w:rPr>
          <w:sz w:val="22"/>
          <w:szCs w:val="22"/>
        </w:rPr>
      </w:pPr>
      <w:r>
        <w:rPr>
          <w:b/>
          <w:bCs/>
          <w:color w:val="000000"/>
          <w:sz w:val="22"/>
          <w:szCs w:val="22"/>
        </w:rPr>
        <w:t>WARNING: SUICIDAL THOUGHTS AND BEHAVIORS</w:t>
      </w:r>
    </w:p>
    <w:p w14:paraId="6144E076" w14:textId="77777777" w:rsidR="004C1E1B" w:rsidRDefault="00000000">
      <w:pPr>
        <w:pStyle w:val="Heading3"/>
        <w:pBdr>
          <w:top w:val="single" w:sz="4" w:space="4" w:color="000000"/>
          <w:left w:val="single" w:sz="4" w:space="4" w:color="000000"/>
          <w:bottom w:val="single" w:sz="4" w:space="4" w:color="000000"/>
          <w:right w:val="single" w:sz="4" w:space="4" w:color="000000"/>
        </w:pBdr>
        <w:shd w:val="clear" w:color="auto" w:fill="FFFFFF"/>
        <w:spacing w:before="0" w:after="0"/>
        <w:ind w:left="360"/>
        <w:rPr>
          <w:color w:val="000000"/>
          <w:sz w:val="22"/>
          <w:szCs w:val="22"/>
        </w:rPr>
      </w:pPr>
      <w:r>
        <w:rPr>
          <w:color w:val="000000"/>
          <w:sz w:val="22"/>
          <w:szCs w:val="22"/>
        </w:rPr>
        <w:t>Antidepressants increase the risk of suicidal thoughts and behaviors in pediatric and young adult patients in short-term studies. Closely monitor all antidepressant-treated patients for clinical worsening and emergence of suicidal thoughts and behaviors. EXXUA is not approved for use in pediatric patients.</w:t>
      </w:r>
      <w:r>
        <w:rPr>
          <w:b/>
          <w:bCs/>
          <w:color w:val="000000"/>
          <w:sz w:val="22"/>
          <w:szCs w:val="22"/>
        </w:rPr>
        <w:t xml:space="preserve"> </w:t>
      </w:r>
    </w:p>
    <w:p w14:paraId="2A63F598" w14:textId="77777777" w:rsidR="004C1E1B" w:rsidRDefault="004C1E1B">
      <w:pPr>
        <w:ind w:firstLine="360"/>
        <w:rPr>
          <w:color w:val="000000"/>
          <w:sz w:val="22"/>
          <w:szCs w:val="22"/>
        </w:rPr>
      </w:pPr>
    </w:p>
    <w:p w14:paraId="57D1A32E" w14:textId="77777777" w:rsidR="004C1E1B" w:rsidRDefault="00000000">
      <w:pPr>
        <w:spacing w:after="0"/>
        <w:ind w:firstLine="360"/>
        <w:rPr>
          <w:color w:val="000000"/>
          <w:sz w:val="22"/>
          <w:szCs w:val="22"/>
        </w:rPr>
      </w:pPr>
      <w:r>
        <w:rPr>
          <w:b/>
          <w:bCs/>
          <w:color w:val="000000"/>
          <w:sz w:val="22"/>
          <w:szCs w:val="22"/>
        </w:rPr>
        <w:t>INDICATIONS AND USAGE</w:t>
      </w:r>
    </w:p>
    <w:p w14:paraId="206E092F" w14:textId="77777777" w:rsidR="004C1E1B" w:rsidRDefault="00000000">
      <w:pPr>
        <w:spacing w:after="0"/>
        <w:ind w:left="360"/>
        <w:rPr>
          <w:color w:val="000000"/>
          <w:sz w:val="22"/>
          <w:szCs w:val="22"/>
        </w:rPr>
      </w:pPr>
      <w:r>
        <w:rPr>
          <w:color w:val="000000"/>
          <w:sz w:val="22"/>
          <w:szCs w:val="22"/>
        </w:rPr>
        <w:t>EXXUA is indicated for the treatment of major depressive disorder (MDD) in adults.</w:t>
      </w:r>
    </w:p>
    <w:p w14:paraId="38631203" w14:textId="77777777" w:rsidR="004C1E1B" w:rsidRDefault="00000000">
      <w:pPr>
        <w:pStyle w:val="Heading1"/>
        <w:tabs>
          <w:tab w:val="left" w:pos="886"/>
        </w:tabs>
        <w:ind w:left="360"/>
        <w:rPr>
          <w:rFonts w:ascii="Aptos" w:eastAsia="Aptos" w:hAnsi="Aptos" w:cs="Aptos"/>
          <w:color w:val="000000"/>
          <w:sz w:val="22"/>
          <w:szCs w:val="22"/>
        </w:rPr>
      </w:pPr>
      <w:r>
        <w:rPr>
          <w:rFonts w:ascii="Aptos" w:eastAsia="Aptos" w:hAnsi="Aptos" w:cs="Aptos"/>
          <w:b/>
          <w:bCs/>
          <w:color w:val="000000"/>
          <w:sz w:val="22"/>
          <w:szCs w:val="22"/>
        </w:rPr>
        <w:t>DOSAGE AND ADMINISTRATION</w:t>
      </w:r>
    </w:p>
    <w:p w14:paraId="4BB6D0EF" w14:textId="77777777" w:rsidR="004C1E1B" w:rsidRDefault="00000000">
      <w:pPr>
        <w:pStyle w:val="Heading2"/>
        <w:tabs>
          <w:tab w:val="left" w:pos="1067"/>
        </w:tabs>
        <w:spacing w:before="0"/>
        <w:ind w:left="360"/>
        <w:rPr>
          <w:rFonts w:ascii="Aptos" w:eastAsia="Aptos" w:hAnsi="Aptos" w:cs="Aptos"/>
          <w:color w:val="000000"/>
          <w:sz w:val="22"/>
          <w:szCs w:val="22"/>
        </w:rPr>
      </w:pPr>
      <w:r>
        <w:rPr>
          <w:rFonts w:ascii="Aptos" w:eastAsia="Aptos" w:hAnsi="Aptos" w:cs="Aptos"/>
          <w:b/>
          <w:bCs/>
          <w:color w:val="000000"/>
          <w:sz w:val="22"/>
          <w:szCs w:val="22"/>
        </w:rPr>
        <w:t>Important Recommendations Prior to Initiating and During Treatment with EXXUA</w:t>
      </w:r>
    </w:p>
    <w:p w14:paraId="3F7A447B" w14:textId="77777777" w:rsidR="004C1E1B" w:rsidRDefault="00000000">
      <w:pPr>
        <w:ind w:left="360"/>
        <w:rPr>
          <w:color w:val="000000"/>
          <w:sz w:val="22"/>
          <w:szCs w:val="22"/>
        </w:rPr>
      </w:pPr>
      <w:r>
        <w:rPr>
          <w:color w:val="000000"/>
          <w:sz w:val="22"/>
          <w:szCs w:val="22"/>
          <w:u w:val="single"/>
        </w:rPr>
        <w:t>Electrocardiogram and Electrolyte Monitoring</w:t>
      </w:r>
    </w:p>
    <w:p w14:paraId="50A1EC7D" w14:textId="77777777" w:rsidR="004C1E1B" w:rsidRDefault="00000000">
      <w:pPr>
        <w:tabs>
          <w:tab w:val="left" w:pos="1516"/>
        </w:tabs>
        <w:ind w:left="360" w:right="387"/>
        <w:rPr>
          <w:color w:val="000000"/>
          <w:sz w:val="22"/>
          <w:szCs w:val="22"/>
        </w:rPr>
      </w:pPr>
      <w:r>
        <w:rPr>
          <w:color w:val="000000"/>
          <w:sz w:val="22"/>
          <w:szCs w:val="22"/>
        </w:rPr>
        <w:t xml:space="preserve">Correct electrolyte abnormalities prior to initiating EXXUA. In patients with electrolyte abnormalities, or who are receiving diuretics or </w:t>
      </w:r>
      <w:r>
        <w:rPr>
          <w:color w:val="1F2023"/>
          <w:sz w:val="22"/>
          <w:szCs w:val="22"/>
        </w:rPr>
        <w:t>glucocorticoid</w:t>
      </w:r>
      <w:r>
        <w:rPr>
          <w:color w:val="000000"/>
          <w:sz w:val="22"/>
          <w:szCs w:val="22"/>
        </w:rPr>
        <w:t>s, or who have a hi</w:t>
      </w:r>
      <w:r>
        <w:rPr>
          <w:color w:val="1F2023"/>
          <w:sz w:val="22"/>
          <w:szCs w:val="22"/>
        </w:rPr>
        <w:t xml:space="preserve">story of hypokalemia or hypomagnesemia, also monitor electrolytes </w:t>
      </w:r>
      <w:r>
        <w:rPr>
          <w:color w:val="000000"/>
          <w:sz w:val="22"/>
          <w:szCs w:val="22"/>
        </w:rPr>
        <w:t>during dose titration and periodically during treatment with EXXUA</w:t>
      </w:r>
      <w:r>
        <w:rPr>
          <w:i/>
          <w:iCs/>
          <w:color w:val="000000"/>
          <w:sz w:val="22"/>
          <w:szCs w:val="22"/>
        </w:rPr>
        <w:t>.</w:t>
      </w:r>
    </w:p>
    <w:p w14:paraId="6EFA4E06" w14:textId="77777777" w:rsidR="004C1E1B" w:rsidRDefault="00000000">
      <w:pPr>
        <w:tabs>
          <w:tab w:val="left" w:pos="1516"/>
        </w:tabs>
        <w:ind w:left="360" w:right="696"/>
        <w:rPr>
          <w:color w:val="000000"/>
          <w:sz w:val="22"/>
          <w:szCs w:val="22"/>
        </w:rPr>
      </w:pPr>
      <w:r>
        <w:rPr>
          <w:color w:val="000000"/>
          <w:sz w:val="22"/>
          <w:szCs w:val="22"/>
        </w:rPr>
        <w:t>Perform an electrocardiogram (ECG) prior to initiating EXXUA, during dosage titration, and periodically during treatment. Do not initiate EXXUA if QTc is &gt; 450 msec at baseline. Monitor ECGs more frequently if EXXUA is used:</w:t>
      </w:r>
    </w:p>
    <w:p w14:paraId="13903B7C" w14:textId="77777777" w:rsidR="004C1E1B" w:rsidRDefault="00000000">
      <w:pPr>
        <w:numPr>
          <w:ilvl w:val="0"/>
          <w:numId w:val="6"/>
        </w:numPr>
        <w:pBdr>
          <w:top w:val="nil"/>
          <w:left w:val="nil"/>
          <w:bottom w:val="nil"/>
          <w:right w:val="nil"/>
          <w:between w:val="nil"/>
        </w:pBdr>
        <w:tabs>
          <w:tab w:val="left" w:pos="1786"/>
        </w:tabs>
        <w:spacing w:after="0"/>
        <w:rPr>
          <w:color w:val="000000"/>
          <w:sz w:val="22"/>
          <w:szCs w:val="22"/>
        </w:rPr>
      </w:pPr>
      <w:r>
        <w:rPr>
          <w:color w:val="000000"/>
          <w:sz w:val="22"/>
          <w:szCs w:val="22"/>
        </w:rPr>
        <w:t>concomitantly with drugs known to prolong the QT interval</w:t>
      </w:r>
    </w:p>
    <w:p w14:paraId="1F46CEE7" w14:textId="77777777" w:rsidR="004C1E1B" w:rsidRDefault="00000000">
      <w:pPr>
        <w:numPr>
          <w:ilvl w:val="0"/>
          <w:numId w:val="6"/>
        </w:numPr>
        <w:pBdr>
          <w:top w:val="nil"/>
          <w:left w:val="nil"/>
          <w:bottom w:val="nil"/>
          <w:right w:val="nil"/>
          <w:between w:val="nil"/>
        </w:pBdr>
        <w:tabs>
          <w:tab w:val="left" w:pos="1786"/>
        </w:tabs>
        <w:spacing w:after="0"/>
        <w:rPr>
          <w:color w:val="000000"/>
          <w:sz w:val="22"/>
          <w:szCs w:val="22"/>
        </w:rPr>
      </w:pPr>
      <w:r>
        <w:rPr>
          <w:color w:val="000000"/>
          <w:sz w:val="22"/>
          <w:szCs w:val="22"/>
        </w:rPr>
        <w:t>in patients who develop QTc ≥ 450 msec during treatment</w:t>
      </w:r>
    </w:p>
    <w:p w14:paraId="7A7C3900" w14:textId="77777777" w:rsidR="004C1E1B" w:rsidRDefault="00000000">
      <w:pPr>
        <w:numPr>
          <w:ilvl w:val="0"/>
          <w:numId w:val="6"/>
        </w:numPr>
        <w:pBdr>
          <w:top w:val="nil"/>
          <w:left w:val="nil"/>
          <w:bottom w:val="nil"/>
          <w:right w:val="nil"/>
          <w:between w:val="nil"/>
        </w:pBdr>
        <w:tabs>
          <w:tab w:val="left" w:pos="1789"/>
        </w:tabs>
        <w:ind w:right="623"/>
        <w:rPr>
          <w:color w:val="000000"/>
          <w:sz w:val="22"/>
          <w:szCs w:val="22"/>
        </w:rPr>
      </w:pPr>
      <w:r>
        <w:rPr>
          <w:color w:val="000000"/>
          <w:sz w:val="22"/>
          <w:szCs w:val="22"/>
        </w:rPr>
        <w:t xml:space="preserve">in patients with a significant risk of developing torsade de pointes </w:t>
      </w:r>
    </w:p>
    <w:p w14:paraId="0AA3A0FA" w14:textId="77777777" w:rsidR="004C1E1B" w:rsidRDefault="00000000">
      <w:pPr>
        <w:tabs>
          <w:tab w:val="left" w:pos="1516"/>
        </w:tabs>
        <w:ind w:left="360"/>
        <w:rPr>
          <w:color w:val="000000"/>
          <w:sz w:val="22"/>
          <w:szCs w:val="22"/>
        </w:rPr>
      </w:pPr>
      <w:r>
        <w:rPr>
          <w:color w:val="000000"/>
          <w:sz w:val="22"/>
          <w:szCs w:val="22"/>
        </w:rPr>
        <w:t xml:space="preserve">Do not escalate the EXXUA dosage if the </w:t>
      </w:r>
      <w:proofErr w:type="spellStart"/>
      <w:r>
        <w:rPr>
          <w:color w:val="000000"/>
          <w:sz w:val="22"/>
          <w:szCs w:val="22"/>
        </w:rPr>
        <w:t>QTcF</w:t>
      </w:r>
      <w:proofErr w:type="spellEnd"/>
      <w:r>
        <w:rPr>
          <w:color w:val="000000"/>
          <w:sz w:val="22"/>
          <w:szCs w:val="22"/>
        </w:rPr>
        <w:t xml:space="preserve"> is &gt; 450 msec</w:t>
      </w:r>
      <w:r>
        <w:rPr>
          <w:i/>
          <w:iCs/>
          <w:color w:val="000000"/>
          <w:sz w:val="22"/>
          <w:szCs w:val="22"/>
        </w:rPr>
        <w:t>.</w:t>
      </w:r>
    </w:p>
    <w:p w14:paraId="4263408E" w14:textId="77777777" w:rsidR="004C1E1B" w:rsidRDefault="00000000">
      <w:pPr>
        <w:ind w:left="360"/>
        <w:rPr>
          <w:color w:val="000000"/>
          <w:sz w:val="22"/>
          <w:szCs w:val="22"/>
        </w:rPr>
      </w:pPr>
      <w:r>
        <w:rPr>
          <w:color w:val="000000"/>
          <w:sz w:val="22"/>
          <w:szCs w:val="22"/>
          <w:u w:val="single"/>
        </w:rPr>
        <w:t>Bipolar Disorder, Mania, and Hypomania Screening</w:t>
      </w:r>
    </w:p>
    <w:p w14:paraId="74B06817" w14:textId="77777777" w:rsidR="004C1E1B" w:rsidRDefault="00000000">
      <w:pPr>
        <w:ind w:left="360"/>
        <w:rPr>
          <w:color w:val="000000"/>
          <w:sz w:val="22"/>
          <w:szCs w:val="22"/>
        </w:rPr>
      </w:pPr>
      <w:r>
        <w:rPr>
          <w:color w:val="000000"/>
          <w:sz w:val="22"/>
          <w:szCs w:val="22"/>
        </w:rPr>
        <w:t>Screen patients for a personal or family history of bipolar disorder, mania, or hypomania prior to initiating treatment with EXXUA.</w:t>
      </w:r>
    </w:p>
    <w:p w14:paraId="2E9638C3" w14:textId="77777777" w:rsidR="004C1E1B" w:rsidRDefault="00000000">
      <w:pPr>
        <w:pStyle w:val="Heading2"/>
        <w:tabs>
          <w:tab w:val="left" w:pos="1067"/>
        </w:tabs>
        <w:spacing w:before="0"/>
        <w:ind w:left="360"/>
        <w:rPr>
          <w:rFonts w:ascii="Aptos" w:eastAsia="Aptos" w:hAnsi="Aptos" w:cs="Aptos"/>
          <w:color w:val="000000"/>
          <w:sz w:val="22"/>
          <w:szCs w:val="22"/>
        </w:rPr>
      </w:pPr>
      <w:r>
        <w:rPr>
          <w:rFonts w:ascii="Aptos" w:eastAsia="Aptos" w:hAnsi="Aptos" w:cs="Aptos"/>
          <w:b/>
          <w:bCs/>
          <w:color w:val="000000"/>
          <w:sz w:val="22"/>
          <w:szCs w:val="22"/>
        </w:rPr>
        <w:t>Important Administration Instructions</w:t>
      </w:r>
    </w:p>
    <w:p w14:paraId="540C54CD" w14:textId="77777777" w:rsidR="004C1E1B" w:rsidRDefault="00000000">
      <w:pPr>
        <w:spacing w:after="0"/>
        <w:ind w:left="360" w:right="296"/>
      </w:pPr>
      <w:r>
        <w:rPr>
          <w:color w:val="000000"/>
          <w:sz w:val="22"/>
          <w:szCs w:val="22"/>
        </w:rPr>
        <w:t>Take EXXUA orally with food at approximately the same time each day. Swallow tablets whole. Do not split, crush, or chew EXXUA.</w:t>
      </w:r>
    </w:p>
    <w:p w14:paraId="781E0CA5" w14:textId="77777777" w:rsidR="004C1E1B" w:rsidRDefault="00000000">
      <w:pPr>
        <w:spacing w:after="0"/>
        <w:ind w:left="5760" w:right="296" w:firstLine="720"/>
        <w:rPr>
          <w:color w:val="231F20"/>
          <w:sz w:val="22"/>
          <w:szCs w:val="22"/>
        </w:rPr>
      </w:pPr>
      <w:r>
        <w:rPr>
          <w:color w:val="231F20"/>
          <w:sz w:val="22"/>
          <w:szCs w:val="22"/>
        </w:rPr>
        <w:t>(Continued on next page)</w:t>
      </w:r>
    </w:p>
    <w:p w14:paraId="33D7FD6B" w14:textId="77777777" w:rsidR="004C1E1B" w:rsidRDefault="00000000">
      <w:r>
        <w:br w:type="page"/>
      </w:r>
    </w:p>
    <w:p w14:paraId="0021C5DF" w14:textId="77777777" w:rsidR="004C1E1B" w:rsidRDefault="00000000">
      <w:pPr>
        <w:spacing w:after="0"/>
        <w:ind w:left="360"/>
        <w:rPr>
          <w:color w:val="000000"/>
          <w:sz w:val="22"/>
          <w:szCs w:val="22"/>
        </w:rPr>
      </w:pPr>
      <w:r>
        <w:rPr>
          <w:b/>
          <w:bCs/>
          <w:color w:val="000000"/>
          <w:sz w:val="22"/>
          <w:szCs w:val="22"/>
        </w:rPr>
        <w:lastRenderedPageBreak/>
        <w:t>IMPORTANT SAFETY INFORMATION (</w:t>
      </w:r>
      <w:proofErr w:type="spellStart"/>
      <w:r>
        <w:rPr>
          <w:b/>
          <w:bCs/>
          <w:color w:val="000000"/>
          <w:sz w:val="22"/>
          <w:szCs w:val="22"/>
        </w:rPr>
        <w:t>cont</w:t>
      </w:r>
      <w:proofErr w:type="spellEnd"/>
      <w:r>
        <w:rPr>
          <w:b/>
          <w:bCs/>
          <w:color w:val="000000"/>
          <w:sz w:val="22"/>
          <w:szCs w:val="22"/>
        </w:rPr>
        <w:t>)</w:t>
      </w:r>
    </w:p>
    <w:p w14:paraId="2AB0A0E1" w14:textId="77777777" w:rsidR="004C1E1B" w:rsidRDefault="00000000">
      <w:pPr>
        <w:ind w:left="360" w:right="-101"/>
        <w:rPr>
          <w:color w:val="000000"/>
          <w:sz w:val="22"/>
          <w:szCs w:val="22"/>
        </w:rPr>
      </w:pPr>
      <w:r>
        <w:rPr>
          <w:b/>
          <w:bCs/>
          <w:color w:val="000000"/>
          <w:sz w:val="22"/>
          <w:szCs w:val="22"/>
        </w:rPr>
        <w:t>DOSAGE AND ADMINISTRATION (</w:t>
      </w:r>
      <w:proofErr w:type="spellStart"/>
      <w:r>
        <w:rPr>
          <w:b/>
          <w:bCs/>
          <w:color w:val="000000"/>
          <w:sz w:val="22"/>
          <w:szCs w:val="22"/>
        </w:rPr>
        <w:t>cont</w:t>
      </w:r>
      <w:proofErr w:type="spellEnd"/>
      <w:r>
        <w:rPr>
          <w:b/>
          <w:bCs/>
          <w:color w:val="000000"/>
          <w:sz w:val="22"/>
          <w:szCs w:val="22"/>
        </w:rPr>
        <w:t xml:space="preserve">) </w:t>
      </w:r>
    </w:p>
    <w:p w14:paraId="5518994D" w14:textId="77777777" w:rsidR="004C1E1B" w:rsidRDefault="00000000">
      <w:pPr>
        <w:pStyle w:val="Heading2"/>
        <w:tabs>
          <w:tab w:val="left" w:pos="1067"/>
        </w:tabs>
        <w:spacing w:before="0"/>
        <w:ind w:left="360"/>
        <w:rPr>
          <w:rFonts w:ascii="Aptos" w:eastAsia="Aptos" w:hAnsi="Aptos" w:cs="Aptos"/>
          <w:color w:val="000000"/>
          <w:sz w:val="22"/>
          <w:szCs w:val="22"/>
        </w:rPr>
      </w:pPr>
      <w:r>
        <w:rPr>
          <w:rFonts w:ascii="Aptos" w:eastAsia="Aptos" w:hAnsi="Aptos" w:cs="Aptos"/>
          <w:b/>
          <w:bCs/>
          <w:color w:val="000000"/>
          <w:sz w:val="22"/>
          <w:szCs w:val="22"/>
        </w:rPr>
        <w:t>Recommended Dosage</w:t>
      </w:r>
      <w:r>
        <w:br/>
      </w:r>
      <w:r>
        <w:rPr>
          <w:rFonts w:ascii="Aptos" w:eastAsia="Aptos" w:hAnsi="Aptos" w:cs="Aptos"/>
          <w:color w:val="000000"/>
          <w:sz w:val="22"/>
          <w:szCs w:val="22"/>
        </w:rPr>
        <w:t>The recommended starting dosage of EXXUA is 18.2 mg once daily. Based on clinical response and tolerability, the dosage may be increased to 36.3 mg orally once daily on Day 4 and further titrated to 54.5 mg orally once daily after Day 7 and to 72.6 mg orally once daily after an additional week. The maximum recommended daily dosage of EXXUA is 72.6 mg once daily.</w:t>
      </w:r>
    </w:p>
    <w:p w14:paraId="2BBE04BA" w14:textId="77777777" w:rsidR="004C1E1B" w:rsidRDefault="00000000">
      <w:pPr>
        <w:pStyle w:val="Heading2"/>
        <w:tabs>
          <w:tab w:val="left" w:pos="1067"/>
        </w:tabs>
        <w:spacing w:before="0"/>
        <w:ind w:left="360"/>
        <w:rPr>
          <w:rFonts w:ascii="Aptos" w:eastAsia="Aptos" w:hAnsi="Aptos" w:cs="Aptos"/>
          <w:color w:val="000000"/>
          <w:sz w:val="22"/>
          <w:szCs w:val="22"/>
        </w:rPr>
      </w:pPr>
      <w:r>
        <w:rPr>
          <w:rFonts w:ascii="Aptos" w:eastAsia="Aptos" w:hAnsi="Aptos" w:cs="Aptos"/>
          <w:b/>
          <w:bCs/>
          <w:color w:val="000000"/>
          <w:sz w:val="22"/>
          <w:szCs w:val="22"/>
        </w:rPr>
        <w:t>Dosage Recommendations in Geriatric Patients</w:t>
      </w:r>
      <w:r>
        <w:br/>
      </w:r>
      <w:r>
        <w:rPr>
          <w:rFonts w:ascii="Aptos" w:eastAsia="Aptos" w:hAnsi="Aptos" w:cs="Aptos"/>
          <w:color w:val="000000"/>
          <w:sz w:val="22"/>
          <w:szCs w:val="22"/>
        </w:rPr>
        <w:t>The recommended starting dosage of EXXUA in geriatric patients is 18.2 mg orally once daily. Based on clinical response and tolerability, the dosage may be increased to maximum recommended dosage of 36.3 mg orally once daily after Day 7.</w:t>
      </w:r>
    </w:p>
    <w:p w14:paraId="33C820AC" w14:textId="77777777" w:rsidR="004C1E1B" w:rsidRDefault="00000000">
      <w:pPr>
        <w:pStyle w:val="Heading2"/>
        <w:tabs>
          <w:tab w:val="left" w:pos="1067"/>
        </w:tabs>
        <w:spacing w:before="0"/>
        <w:ind w:left="360"/>
        <w:rPr>
          <w:rFonts w:ascii="Aptos" w:eastAsia="Aptos" w:hAnsi="Aptos" w:cs="Aptos"/>
          <w:color w:val="000000"/>
          <w:sz w:val="22"/>
          <w:szCs w:val="22"/>
        </w:rPr>
      </w:pPr>
      <w:r>
        <w:rPr>
          <w:rFonts w:ascii="Aptos" w:eastAsia="Aptos" w:hAnsi="Aptos" w:cs="Aptos"/>
          <w:b/>
          <w:bCs/>
          <w:color w:val="000000"/>
          <w:sz w:val="22"/>
          <w:szCs w:val="22"/>
        </w:rPr>
        <w:t>Recommended Dosage in Patients with Renal Impairment</w:t>
      </w:r>
      <w:r>
        <w:br/>
      </w:r>
      <w:r>
        <w:rPr>
          <w:rFonts w:ascii="Aptos" w:eastAsia="Aptos" w:hAnsi="Aptos" w:cs="Aptos"/>
          <w:color w:val="000000"/>
          <w:sz w:val="22"/>
          <w:szCs w:val="22"/>
        </w:rPr>
        <w:t>The recommended starting dosage of EXXUA in patients with creatinine clearance &lt; 50 mL/min is 18.2 mg orally once daily. Based on clinical response and tolerability, the dosage may be increased to the maximum recommended dosage of 36.3 mg orally once daily after Day 7. The recommended dosage in patients with creatinine clearance ≥ 50 mL/min is the same as in patients with normal renal function.</w:t>
      </w:r>
    </w:p>
    <w:p w14:paraId="1F9A3CCE" w14:textId="77777777" w:rsidR="004C1E1B" w:rsidRDefault="00000000">
      <w:pPr>
        <w:pStyle w:val="Heading2"/>
        <w:tabs>
          <w:tab w:val="left" w:pos="1067"/>
        </w:tabs>
        <w:spacing w:before="0"/>
        <w:ind w:left="360"/>
        <w:rPr>
          <w:rFonts w:ascii="Aptos" w:eastAsia="Aptos" w:hAnsi="Aptos" w:cs="Aptos"/>
          <w:color w:val="000000"/>
          <w:sz w:val="22"/>
          <w:szCs w:val="22"/>
        </w:rPr>
      </w:pPr>
      <w:r>
        <w:rPr>
          <w:rFonts w:ascii="Aptos" w:eastAsia="Aptos" w:hAnsi="Aptos" w:cs="Aptos"/>
          <w:b/>
          <w:bCs/>
          <w:color w:val="000000"/>
          <w:sz w:val="22"/>
          <w:szCs w:val="22"/>
        </w:rPr>
        <w:t>Recommended Dosage in Patients with Hepatic Impairment</w:t>
      </w:r>
      <w:r>
        <w:br/>
      </w:r>
      <w:r>
        <w:rPr>
          <w:rFonts w:ascii="Aptos" w:eastAsia="Aptos" w:hAnsi="Aptos" w:cs="Aptos"/>
          <w:color w:val="000000"/>
          <w:sz w:val="22"/>
          <w:szCs w:val="22"/>
        </w:rPr>
        <w:t>The recommended starting dose of EXXUA in patients with moderate (Child-Pugh B) hepatic impairment is 18.2 mg once daily. Based on clinical response and tolerability, the dosage may be increased to the maximum recommended dosage of 36.3 mg orally once daily after Day 7. EXXUA is contraindicated in patients with severe (Child-Pugh C) hepatic impairment. The recommended dosage in patients with mild (Child-Pugh A) hepatic impairment is the same as patients with normal hepatic function.</w:t>
      </w:r>
    </w:p>
    <w:p w14:paraId="7B1B67E6" w14:textId="77777777" w:rsidR="004C1E1B" w:rsidRDefault="00000000">
      <w:pPr>
        <w:pStyle w:val="Heading2"/>
        <w:ind w:left="360" w:right="296"/>
        <w:rPr>
          <w:rFonts w:ascii="Aptos" w:eastAsia="Aptos" w:hAnsi="Aptos" w:cs="Aptos"/>
          <w:color w:val="000000"/>
          <w:sz w:val="22"/>
          <w:szCs w:val="22"/>
        </w:rPr>
      </w:pPr>
      <w:r>
        <w:rPr>
          <w:rFonts w:ascii="Aptos" w:eastAsia="Aptos" w:hAnsi="Aptos" w:cs="Aptos"/>
          <w:b/>
          <w:bCs/>
          <w:color w:val="000000"/>
          <w:sz w:val="22"/>
          <w:szCs w:val="22"/>
        </w:rPr>
        <w:t>Dosage Modifications for Concomitant Use with CYP3A4 Inhibitors</w:t>
      </w:r>
    </w:p>
    <w:p w14:paraId="656DE42E" w14:textId="77777777" w:rsidR="004C1E1B" w:rsidRDefault="00000000">
      <w:pPr>
        <w:ind w:left="360" w:right="296"/>
        <w:rPr>
          <w:color w:val="000000"/>
          <w:sz w:val="22"/>
          <w:szCs w:val="22"/>
        </w:rPr>
      </w:pPr>
      <w:r>
        <w:rPr>
          <w:color w:val="000000"/>
          <w:sz w:val="22"/>
          <w:szCs w:val="22"/>
        </w:rPr>
        <w:t>Reduce the EXXUA dose by 50% when used concomitantly with a moderate CYP3A4 inhibitor. EXXUA is contraindicated in patients receiving strong CYP3A4 inhibitors.</w:t>
      </w:r>
    </w:p>
    <w:p w14:paraId="43D79BB1" w14:textId="77777777" w:rsidR="004C1E1B" w:rsidRDefault="00000000">
      <w:pPr>
        <w:pStyle w:val="Heading2"/>
        <w:ind w:left="360" w:right="296"/>
        <w:rPr>
          <w:rFonts w:ascii="Aptos" w:eastAsia="Aptos" w:hAnsi="Aptos" w:cs="Aptos"/>
          <w:color w:val="000000"/>
          <w:sz w:val="22"/>
          <w:szCs w:val="22"/>
        </w:rPr>
      </w:pPr>
      <w:r>
        <w:rPr>
          <w:rFonts w:ascii="Aptos" w:eastAsia="Aptos" w:hAnsi="Aptos" w:cs="Aptos"/>
          <w:b/>
          <w:bCs/>
          <w:color w:val="000000"/>
          <w:sz w:val="22"/>
          <w:szCs w:val="22"/>
        </w:rPr>
        <w:t>Switching a Patient to or from a Monoamine Oxidase Inhibitor (MAOI) Antidepressant</w:t>
      </w:r>
    </w:p>
    <w:p w14:paraId="417CAD1E" w14:textId="77777777" w:rsidR="004C1E1B" w:rsidRDefault="00000000">
      <w:pPr>
        <w:ind w:left="360" w:right="296"/>
        <w:rPr>
          <w:color w:val="000000"/>
          <w:sz w:val="22"/>
          <w:szCs w:val="22"/>
        </w:rPr>
      </w:pPr>
      <w:r>
        <w:rPr>
          <w:color w:val="000000"/>
          <w:sz w:val="22"/>
          <w:szCs w:val="22"/>
        </w:rPr>
        <w:t>At least 14 days must elapse between discontinuation of an MAOI intended to treat depression and initiation of therapy with EXXUA. Conversely, at least 14 days must be allowed after stopping EXXUA before starting an MAOI antidepressant.</w:t>
      </w:r>
    </w:p>
    <w:p w14:paraId="670A2D3D" w14:textId="77777777" w:rsidR="004C1E1B" w:rsidRDefault="00000000">
      <w:pPr>
        <w:spacing w:after="0"/>
        <w:ind w:left="5760" w:firstLine="720"/>
        <w:rPr>
          <w:color w:val="231F20"/>
          <w:sz w:val="22"/>
          <w:szCs w:val="22"/>
        </w:rPr>
      </w:pPr>
      <w:r>
        <w:rPr>
          <w:color w:val="231F20"/>
          <w:sz w:val="22"/>
          <w:szCs w:val="22"/>
        </w:rPr>
        <w:t>(Continued on next page)</w:t>
      </w:r>
    </w:p>
    <w:p w14:paraId="0C767918" w14:textId="77777777" w:rsidR="004C1E1B" w:rsidRDefault="004C1E1B">
      <w:pPr>
        <w:ind w:left="360" w:right="296"/>
        <w:rPr>
          <w:color w:val="000000"/>
          <w:sz w:val="22"/>
          <w:szCs w:val="22"/>
        </w:rPr>
      </w:pPr>
    </w:p>
    <w:p w14:paraId="381051D4" w14:textId="77777777" w:rsidR="004C1E1B" w:rsidRDefault="00000000">
      <w:r>
        <w:br w:type="page"/>
      </w:r>
    </w:p>
    <w:p w14:paraId="65201020" w14:textId="77777777" w:rsidR="004C1E1B" w:rsidRDefault="00000000">
      <w:pPr>
        <w:ind w:right="296" w:firstLine="360"/>
        <w:rPr>
          <w:color w:val="000000"/>
          <w:sz w:val="22"/>
          <w:szCs w:val="22"/>
        </w:rPr>
      </w:pPr>
      <w:r>
        <w:rPr>
          <w:b/>
          <w:bCs/>
          <w:color w:val="000000"/>
          <w:sz w:val="22"/>
          <w:szCs w:val="22"/>
        </w:rPr>
        <w:lastRenderedPageBreak/>
        <w:t>IMPORTANT SAFETY INFORMATION (</w:t>
      </w:r>
      <w:proofErr w:type="spellStart"/>
      <w:r>
        <w:rPr>
          <w:b/>
          <w:bCs/>
          <w:color w:val="000000"/>
          <w:sz w:val="22"/>
          <w:szCs w:val="22"/>
        </w:rPr>
        <w:t>cont</w:t>
      </w:r>
      <w:proofErr w:type="spellEnd"/>
      <w:r>
        <w:rPr>
          <w:b/>
          <w:bCs/>
          <w:color w:val="000000"/>
          <w:sz w:val="22"/>
          <w:szCs w:val="22"/>
        </w:rPr>
        <w:t>)</w:t>
      </w:r>
    </w:p>
    <w:p w14:paraId="1A177ADD" w14:textId="77777777" w:rsidR="004C1E1B" w:rsidRDefault="00000000">
      <w:pPr>
        <w:ind w:left="360" w:right="-101"/>
        <w:rPr>
          <w:color w:val="000000"/>
          <w:sz w:val="22"/>
          <w:szCs w:val="22"/>
        </w:rPr>
      </w:pPr>
      <w:r>
        <w:rPr>
          <w:b/>
          <w:bCs/>
          <w:color w:val="000000"/>
          <w:sz w:val="22"/>
          <w:szCs w:val="22"/>
        </w:rPr>
        <w:t>CONTRAINDICATIONS</w:t>
      </w:r>
    </w:p>
    <w:p w14:paraId="11D11E98" w14:textId="77777777" w:rsidR="004C1E1B" w:rsidRDefault="00000000">
      <w:pPr>
        <w:ind w:left="360"/>
        <w:rPr>
          <w:color w:val="000000"/>
          <w:sz w:val="22"/>
          <w:szCs w:val="22"/>
        </w:rPr>
      </w:pPr>
      <w:r>
        <w:rPr>
          <w:color w:val="000000"/>
          <w:sz w:val="22"/>
          <w:szCs w:val="22"/>
        </w:rPr>
        <w:t>EXXUA is contraindicated in patients:</w:t>
      </w:r>
    </w:p>
    <w:p w14:paraId="1E8F6A70" w14:textId="77777777" w:rsidR="004C1E1B" w:rsidRDefault="00000000">
      <w:pPr>
        <w:numPr>
          <w:ilvl w:val="0"/>
          <w:numId w:val="5"/>
        </w:numPr>
        <w:pBdr>
          <w:top w:val="nil"/>
          <w:left w:val="nil"/>
          <w:bottom w:val="nil"/>
          <w:right w:val="nil"/>
          <w:between w:val="nil"/>
        </w:pBdr>
        <w:tabs>
          <w:tab w:val="left" w:pos="1686"/>
        </w:tabs>
        <w:spacing w:after="0"/>
        <w:rPr>
          <w:color w:val="000000"/>
          <w:sz w:val="22"/>
          <w:szCs w:val="22"/>
        </w:rPr>
      </w:pPr>
      <w:r>
        <w:rPr>
          <w:color w:val="000000"/>
          <w:sz w:val="22"/>
          <w:szCs w:val="22"/>
        </w:rPr>
        <w:t xml:space="preserve">with known hypersensitivity to </w:t>
      </w:r>
      <w:proofErr w:type="spellStart"/>
      <w:r>
        <w:rPr>
          <w:color w:val="000000"/>
          <w:sz w:val="22"/>
          <w:szCs w:val="22"/>
        </w:rPr>
        <w:t>gepirone</w:t>
      </w:r>
      <w:proofErr w:type="spellEnd"/>
      <w:r>
        <w:rPr>
          <w:color w:val="000000"/>
          <w:sz w:val="22"/>
          <w:szCs w:val="22"/>
        </w:rPr>
        <w:t xml:space="preserve"> or components of EXXUA.</w:t>
      </w:r>
    </w:p>
    <w:p w14:paraId="7EF30D85" w14:textId="77777777" w:rsidR="004C1E1B" w:rsidRDefault="00000000">
      <w:pPr>
        <w:numPr>
          <w:ilvl w:val="0"/>
          <w:numId w:val="5"/>
        </w:numPr>
        <w:pBdr>
          <w:top w:val="nil"/>
          <w:left w:val="nil"/>
          <w:bottom w:val="nil"/>
          <w:right w:val="nil"/>
          <w:between w:val="nil"/>
        </w:pBdr>
        <w:tabs>
          <w:tab w:val="left" w:pos="1686"/>
        </w:tabs>
        <w:spacing w:after="0"/>
        <w:rPr>
          <w:color w:val="000000"/>
          <w:sz w:val="22"/>
          <w:szCs w:val="22"/>
        </w:rPr>
      </w:pPr>
      <w:r>
        <w:rPr>
          <w:color w:val="000000"/>
          <w:sz w:val="22"/>
          <w:szCs w:val="22"/>
        </w:rPr>
        <w:t>with prolonged QTc interval &gt; 450 msec at baseline</w:t>
      </w:r>
      <w:r>
        <w:rPr>
          <w:i/>
          <w:iCs/>
          <w:color w:val="000000"/>
          <w:sz w:val="22"/>
          <w:szCs w:val="22"/>
        </w:rPr>
        <w:t>.</w:t>
      </w:r>
    </w:p>
    <w:p w14:paraId="4D5AA86B" w14:textId="77777777" w:rsidR="004C1E1B" w:rsidRDefault="00000000">
      <w:pPr>
        <w:numPr>
          <w:ilvl w:val="0"/>
          <w:numId w:val="5"/>
        </w:numPr>
        <w:pBdr>
          <w:top w:val="nil"/>
          <w:left w:val="nil"/>
          <w:bottom w:val="nil"/>
          <w:right w:val="nil"/>
          <w:between w:val="nil"/>
        </w:pBdr>
        <w:tabs>
          <w:tab w:val="left" w:pos="1686"/>
        </w:tabs>
        <w:spacing w:after="0"/>
        <w:rPr>
          <w:color w:val="000000"/>
          <w:sz w:val="22"/>
          <w:szCs w:val="22"/>
        </w:rPr>
      </w:pPr>
      <w:r>
        <w:rPr>
          <w:color w:val="000000"/>
          <w:sz w:val="22"/>
          <w:szCs w:val="22"/>
        </w:rPr>
        <w:t>with congenital long QT syndrome</w:t>
      </w:r>
      <w:r>
        <w:rPr>
          <w:i/>
          <w:iCs/>
          <w:color w:val="000000"/>
          <w:sz w:val="22"/>
          <w:szCs w:val="22"/>
        </w:rPr>
        <w:t>.</w:t>
      </w:r>
    </w:p>
    <w:p w14:paraId="29FBE983" w14:textId="77777777" w:rsidR="004C1E1B" w:rsidRDefault="00000000">
      <w:pPr>
        <w:numPr>
          <w:ilvl w:val="0"/>
          <w:numId w:val="4"/>
        </w:numPr>
        <w:pBdr>
          <w:top w:val="nil"/>
          <w:left w:val="nil"/>
          <w:bottom w:val="nil"/>
          <w:right w:val="nil"/>
          <w:between w:val="nil"/>
        </w:pBdr>
        <w:tabs>
          <w:tab w:val="left" w:pos="1686"/>
        </w:tabs>
        <w:spacing w:after="0"/>
        <w:ind w:right="1285"/>
        <w:rPr>
          <w:color w:val="000000"/>
          <w:sz w:val="22"/>
          <w:szCs w:val="22"/>
        </w:rPr>
      </w:pPr>
      <w:r>
        <w:rPr>
          <w:color w:val="000000"/>
          <w:sz w:val="22"/>
          <w:szCs w:val="22"/>
        </w:rPr>
        <w:t>receiving concomitant strong CYP3A4 inhibitors</w:t>
      </w:r>
      <w:r>
        <w:rPr>
          <w:i/>
          <w:iCs/>
          <w:color w:val="000000"/>
          <w:sz w:val="22"/>
          <w:szCs w:val="22"/>
        </w:rPr>
        <w:t>.</w:t>
      </w:r>
    </w:p>
    <w:p w14:paraId="403A1BDC" w14:textId="77777777" w:rsidR="004C1E1B" w:rsidRDefault="00000000">
      <w:pPr>
        <w:numPr>
          <w:ilvl w:val="0"/>
          <w:numId w:val="4"/>
        </w:numPr>
        <w:pBdr>
          <w:top w:val="nil"/>
          <w:left w:val="nil"/>
          <w:bottom w:val="nil"/>
          <w:right w:val="nil"/>
          <w:between w:val="nil"/>
        </w:pBdr>
        <w:tabs>
          <w:tab w:val="left" w:pos="1686"/>
        </w:tabs>
        <w:spacing w:after="0"/>
        <w:ind w:right="873"/>
        <w:rPr>
          <w:color w:val="000000"/>
          <w:sz w:val="22"/>
          <w:szCs w:val="22"/>
        </w:rPr>
      </w:pPr>
      <w:r>
        <w:rPr>
          <w:color w:val="000000"/>
          <w:sz w:val="22"/>
          <w:szCs w:val="22"/>
        </w:rPr>
        <w:t>with severe hepatic impairment</w:t>
      </w:r>
      <w:r>
        <w:rPr>
          <w:i/>
          <w:iCs/>
          <w:color w:val="000000"/>
          <w:sz w:val="22"/>
          <w:szCs w:val="22"/>
        </w:rPr>
        <w:t>.</w:t>
      </w:r>
    </w:p>
    <w:p w14:paraId="104B9586" w14:textId="77777777" w:rsidR="004C1E1B" w:rsidRDefault="00000000">
      <w:pPr>
        <w:numPr>
          <w:ilvl w:val="0"/>
          <w:numId w:val="4"/>
        </w:numPr>
        <w:pBdr>
          <w:top w:val="nil"/>
          <w:left w:val="nil"/>
          <w:bottom w:val="nil"/>
          <w:right w:val="nil"/>
          <w:between w:val="nil"/>
        </w:pBdr>
        <w:tabs>
          <w:tab w:val="left" w:pos="1686"/>
        </w:tabs>
        <w:ind w:right="378"/>
        <w:rPr>
          <w:color w:val="000000"/>
          <w:sz w:val="22"/>
          <w:szCs w:val="22"/>
        </w:rPr>
      </w:pPr>
      <w:r>
        <w:rPr>
          <w:color w:val="000000"/>
          <w:sz w:val="22"/>
          <w:szCs w:val="22"/>
        </w:rPr>
        <w:t>taking, or within 14 days of stopping, MAOIs due to the risk of serious and possibly fatal drug interactions, including hypertensive crisis and serotonin syndrome. Starting EXXUA in a patient treated with reversible MAOIs such as linezolid or intravenous methylene blue is also contraindicated.</w:t>
      </w:r>
    </w:p>
    <w:p w14:paraId="3EB3FDE9" w14:textId="77777777" w:rsidR="004C1E1B" w:rsidRDefault="00000000">
      <w:pPr>
        <w:tabs>
          <w:tab w:val="left" w:pos="1686"/>
        </w:tabs>
        <w:spacing w:before="240" w:line="360" w:lineRule="auto"/>
        <w:ind w:right="378" w:firstLine="360"/>
        <w:rPr>
          <w:color w:val="000000"/>
          <w:sz w:val="22"/>
          <w:szCs w:val="22"/>
        </w:rPr>
      </w:pPr>
      <w:r>
        <w:rPr>
          <w:b/>
          <w:bCs/>
          <w:color w:val="000000"/>
          <w:sz w:val="22"/>
          <w:szCs w:val="22"/>
        </w:rPr>
        <w:t>WARNINGS AND PRECAUTIONS</w:t>
      </w:r>
    </w:p>
    <w:p w14:paraId="1A20B162" w14:textId="77777777" w:rsidR="004C1E1B" w:rsidRDefault="00000000">
      <w:pPr>
        <w:pStyle w:val="Heading2"/>
        <w:tabs>
          <w:tab w:val="left" w:pos="1067"/>
        </w:tabs>
        <w:spacing w:before="0"/>
        <w:ind w:left="360"/>
        <w:rPr>
          <w:rFonts w:ascii="Aptos" w:eastAsia="Aptos" w:hAnsi="Aptos" w:cs="Aptos"/>
          <w:color w:val="000000"/>
          <w:sz w:val="22"/>
          <w:szCs w:val="22"/>
        </w:rPr>
      </w:pPr>
      <w:r>
        <w:rPr>
          <w:rFonts w:ascii="Aptos" w:eastAsia="Aptos" w:hAnsi="Aptos" w:cs="Aptos"/>
          <w:b/>
          <w:bCs/>
          <w:color w:val="000000"/>
          <w:sz w:val="22"/>
          <w:szCs w:val="22"/>
        </w:rPr>
        <w:t>Suicidal Thoughts and Behaviors in Adolescents and Young Adults</w:t>
      </w:r>
    </w:p>
    <w:p w14:paraId="7341B8FE" w14:textId="77777777" w:rsidR="004C1E1B" w:rsidRDefault="00000000">
      <w:pPr>
        <w:ind w:left="360" w:right="296"/>
        <w:rPr>
          <w:color w:val="000000"/>
          <w:sz w:val="22"/>
          <w:szCs w:val="22"/>
        </w:rPr>
      </w:pPr>
      <w:r>
        <w:rPr>
          <w:color w:val="000000"/>
          <w:sz w:val="22"/>
          <w:szCs w:val="22"/>
        </w:rPr>
        <w:t>In pooled analyses of placebo-controlled trials of antidepressant drugs (SSRIs and other antidepressant classes) that included approximately 77,000 adult patients, and 4,500 pediatric patients, the incidence of suicidal thoughts and behaviors in antidepressant-treated patients aged 24 years and younger was greater than in placebo-treated patients.</w:t>
      </w:r>
    </w:p>
    <w:p w14:paraId="3B62D18C" w14:textId="77777777" w:rsidR="004C1E1B" w:rsidRDefault="00000000">
      <w:pPr>
        <w:ind w:left="360" w:right="296"/>
        <w:rPr>
          <w:color w:val="000000"/>
          <w:sz w:val="22"/>
          <w:szCs w:val="22"/>
        </w:rPr>
      </w:pPr>
      <w:r>
        <w:rPr>
          <w:color w:val="000000"/>
          <w:sz w:val="22"/>
          <w:szCs w:val="22"/>
        </w:rPr>
        <w:t xml:space="preserve">There was considerable variation in risk of suicidal thoughts and behaviors among drugs, but there was an increased risk identified in young patients for most drugs studied. There were differences in absolute risk of suicidal thoughts and behaviors across the different indications, with the highest incidence in patients with MDD. </w:t>
      </w:r>
    </w:p>
    <w:p w14:paraId="590DC9A4" w14:textId="77777777" w:rsidR="004C1E1B" w:rsidRDefault="00000000">
      <w:pPr>
        <w:ind w:left="360" w:right="296"/>
        <w:rPr>
          <w:color w:val="000000"/>
          <w:sz w:val="22"/>
          <w:szCs w:val="22"/>
        </w:rPr>
      </w:pPr>
      <w:r>
        <w:rPr>
          <w:b/>
          <w:bCs/>
          <w:color w:val="000000"/>
          <w:sz w:val="22"/>
          <w:szCs w:val="22"/>
        </w:rPr>
        <w:t>*EXXUA is not approved for use in pediatric patients.</w:t>
      </w:r>
    </w:p>
    <w:p w14:paraId="00FD73FF" w14:textId="77777777" w:rsidR="004C1E1B" w:rsidRDefault="00000000">
      <w:pPr>
        <w:ind w:left="360" w:right="296"/>
        <w:rPr>
          <w:color w:val="000000"/>
          <w:sz w:val="22"/>
          <w:szCs w:val="22"/>
        </w:rPr>
      </w:pPr>
      <w:r>
        <w:rPr>
          <w:color w:val="000000"/>
          <w:sz w:val="22"/>
          <w:szCs w:val="22"/>
        </w:rPr>
        <w:t>Monitor all antidepressant-treated patients for clinical worsening and emergence of suicidal thoughts and behaviors, especially during the initial few months of drug therapy, and at times of dosage changes. Counsel family members or caregivers of patients to monitor for changes in behavior and to alert the healthcare provider. Consider changing the therapeutic regimen, including possibly discontinuing EXXUA, in patients whose depression is persistently worse, or who are experiencing emergent suicidal thoughts or behaviors.</w:t>
      </w:r>
    </w:p>
    <w:p w14:paraId="1657A1D4" w14:textId="77777777" w:rsidR="004C1E1B" w:rsidRDefault="00000000">
      <w:pPr>
        <w:spacing w:after="0"/>
        <w:ind w:left="5760" w:firstLine="720"/>
        <w:rPr>
          <w:color w:val="231F20"/>
          <w:sz w:val="22"/>
          <w:szCs w:val="22"/>
        </w:rPr>
      </w:pPr>
      <w:r>
        <w:rPr>
          <w:color w:val="231F20"/>
          <w:sz w:val="22"/>
          <w:szCs w:val="22"/>
        </w:rPr>
        <w:t>(Continued on next page)</w:t>
      </w:r>
    </w:p>
    <w:p w14:paraId="3AE81197" w14:textId="77777777" w:rsidR="004C1E1B" w:rsidRDefault="004C1E1B">
      <w:pPr>
        <w:ind w:left="360" w:right="296"/>
        <w:rPr>
          <w:color w:val="000000"/>
          <w:sz w:val="22"/>
          <w:szCs w:val="22"/>
        </w:rPr>
      </w:pPr>
    </w:p>
    <w:p w14:paraId="73F7AF72" w14:textId="77777777" w:rsidR="004C1E1B" w:rsidRDefault="00000000">
      <w:pPr>
        <w:keepNext/>
        <w:keepLines/>
        <w:spacing w:before="160" w:after="80"/>
      </w:pPr>
      <w:r>
        <w:br w:type="page"/>
      </w:r>
    </w:p>
    <w:p w14:paraId="0012ABFE" w14:textId="77777777" w:rsidR="004C1E1B" w:rsidRDefault="00000000">
      <w:pPr>
        <w:pStyle w:val="Heading2"/>
        <w:ind w:left="360" w:right="296"/>
        <w:rPr>
          <w:rFonts w:ascii="Aptos" w:eastAsia="Aptos" w:hAnsi="Aptos" w:cs="Aptos"/>
          <w:color w:val="000000"/>
          <w:sz w:val="22"/>
          <w:szCs w:val="22"/>
        </w:rPr>
      </w:pPr>
      <w:r>
        <w:rPr>
          <w:rFonts w:ascii="Aptos" w:eastAsia="Aptos" w:hAnsi="Aptos" w:cs="Aptos"/>
          <w:b/>
          <w:bCs/>
          <w:color w:val="000000"/>
          <w:sz w:val="22"/>
          <w:szCs w:val="22"/>
        </w:rPr>
        <w:lastRenderedPageBreak/>
        <w:t>IMPORTANT SAFETY INFORMATION (</w:t>
      </w:r>
      <w:proofErr w:type="spellStart"/>
      <w:r>
        <w:rPr>
          <w:rFonts w:ascii="Aptos" w:eastAsia="Aptos" w:hAnsi="Aptos" w:cs="Aptos"/>
          <w:b/>
          <w:bCs/>
          <w:color w:val="000000"/>
          <w:sz w:val="22"/>
          <w:szCs w:val="22"/>
        </w:rPr>
        <w:t>cont</w:t>
      </w:r>
      <w:proofErr w:type="spellEnd"/>
      <w:r>
        <w:rPr>
          <w:rFonts w:ascii="Aptos" w:eastAsia="Aptos" w:hAnsi="Aptos" w:cs="Aptos"/>
          <w:b/>
          <w:bCs/>
          <w:color w:val="000000"/>
          <w:sz w:val="22"/>
          <w:szCs w:val="22"/>
        </w:rPr>
        <w:t>)</w:t>
      </w:r>
    </w:p>
    <w:p w14:paraId="675CE140" w14:textId="77777777" w:rsidR="004C1E1B" w:rsidRDefault="00000000">
      <w:pPr>
        <w:ind w:right="-101" w:firstLine="360"/>
        <w:rPr>
          <w:color w:val="000000"/>
          <w:sz w:val="22"/>
          <w:szCs w:val="22"/>
        </w:rPr>
      </w:pPr>
      <w:r>
        <w:rPr>
          <w:b/>
          <w:bCs/>
          <w:color w:val="000000"/>
          <w:sz w:val="22"/>
          <w:szCs w:val="22"/>
        </w:rPr>
        <w:t>WARNINGS AND PRECAUTIONS (</w:t>
      </w:r>
      <w:proofErr w:type="spellStart"/>
      <w:r>
        <w:rPr>
          <w:b/>
          <w:bCs/>
          <w:color w:val="000000"/>
          <w:sz w:val="22"/>
          <w:szCs w:val="22"/>
        </w:rPr>
        <w:t>cont</w:t>
      </w:r>
      <w:proofErr w:type="spellEnd"/>
      <w:r>
        <w:rPr>
          <w:b/>
          <w:bCs/>
          <w:color w:val="000000"/>
          <w:sz w:val="22"/>
          <w:szCs w:val="22"/>
        </w:rPr>
        <w:t>)</w:t>
      </w:r>
      <w:r>
        <w:rPr>
          <w:color w:val="000000"/>
          <w:sz w:val="22"/>
          <w:szCs w:val="22"/>
        </w:rPr>
        <w:t xml:space="preserve"> </w:t>
      </w:r>
    </w:p>
    <w:p w14:paraId="713A3402" w14:textId="77777777" w:rsidR="004C1E1B" w:rsidRDefault="00000000">
      <w:pPr>
        <w:pStyle w:val="Heading2"/>
        <w:ind w:left="360" w:right="296"/>
        <w:rPr>
          <w:rFonts w:ascii="Aptos" w:eastAsia="Aptos" w:hAnsi="Aptos" w:cs="Aptos"/>
          <w:color w:val="000000"/>
          <w:sz w:val="22"/>
          <w:szCs w:val="22"/>
        </w:rPr>
      </w:pPr>
      <w:r>
        <w:rPr>
          <w:rFonts w:ascii="Aptos" w:eastAsia="Aptos" w:hAnsi="Aptos" w:cs="Aptos"/>
          <w:b/>
          <w:bCs/>
          <w:color w:val="000000"/>
          <w:sz w:val="22"/>
          <w:szCs w:val="22"/>
        </w:rPr>
        <w:t>QT Prolongation</w:t>
      </w:r>
    </w:p>
    <w:p w14:paraId="60EA1D72" w14:textId="77777777" w:rsidR="004C1E1B" w:rsidRDefault="00000000">
      <w:pPr>
        <w:pStyle w:val="Heading2"/>
        <w:ind w:left="360" w:right="296"/>
        <w:rPr>
          <w:rFonts w:ascii="Aptos" w:eastAsia="Aptos" w:hAnsi="Aptos" w:cs="Aptos"/>
          <w:color w:val="000000"/>
          <w:sz w:val="22"/>
          <w:szCs w:val="22"/>
        </w:rPr>
      </w:pPr>
      <w:r>
        <w:rPr>
          <w:rFonts w:ascii="Aptos" w:eastAsia="Aptos" w:hAnsi="Aptos" w:cs="Aptos"/>
          <w:color w:val="000000"/>
          <w:sz w:val="22"/>
          <w:szCs w:val="22"/>
        </w:rPr>
        <w:t>EXXUA prolongs the QTc interval.</w:t>
      </w:r>
    </w:p>
    <w:p w14:paraId="10788DD6" w14:textId="77777777" w:rsidR="004C1E1B" w:rsidRDefault="00000000">
      <w:pPr>
        <w:numPr>
          <w:ilvl w:val="0"/>
          <w:numId w:val="3"/>
        </w:numPr>
        <w:pBdr>
          <w:top w:val="nil"/>
          <w:left w:val="nil"/>
          <w:bottom w:val="nil"/>
          <w:right w:val="nil"/>
          <w:between w:val="nil"/>
        </w:pBdr>
        <w:spacing w:after="0"/>
        <w:ind w:right="443"/>
        <w:rPr>
          <w:color w:val="000000"/>
          <w:sz w:val="22"/>
          <w:szCs w:val="22"/>
        </w:rPr>
      </w:pPr>
      <w:r>
        <w:rPr>
          <w:color w:val="000000"/>
          <w:sz w:val="22"/>
          <w:szCs w:val="22"/>
        </w:rPr>
        <w:t>EXXUA is contraindicated in patients with congenital long QT syndrome and in patients with severe hepatic impairment or in patients receiving concomitant strong CYP3A4 inhibitors as they increase EXXUA plasma concentrations.</w:t>
      </w:r>
    </w:p>
    <w:p w14:paraId="7BE60209" w14:textId="77777777" w:rsidR="004C1E1B" w:rsidRDefault="00000000">
      <w:pPr>
        <w:numPr>
          <w:ilvl w:val="0"/>
          <w:numId w:val="3"/>
        </w:numPr>
        <w:pBdr>
          <w:top w:val="nil"/>
          <w:left w:val="nil"/>
          <w:bottom w:val="nil"/>
          <w:right w:val="nil"/>
          <w:between w:val="nil"/>
        </w:pBdr>
        <w:spacing w:after="0"/>
        <w:ind w:right="443"/>
        <w:rPr>
          <w:color w:val="000000"/>
          <w:sz w:val="22"/>
          <w:szCs w:val="22"/>
        </w:rPr>
      </w:pPr>
      <w:r>
        <w:rPr>
          <w:color w:val="000000"/>
          <w:sz w:val="22"/>
          <w:szCs w:val="22"/>
        </w:rPr>
        <w:t>Do not initiate EXXUA if QTc is &gt; 450 msec at baseline.</w:t>
      </w:r>
    </w:p>
    <w:p w14:paraId="41E9156C" w14:textId="77777777" w:rsidR="004C1E1B" w:rsidRDefault="00000000">
      <w:pPr>
        <w:numPr>
          <w:ilvl w:val="0"/>
          <w:numId w:val="3"/>
        </w:numPr>
        <w:pBdr>
          <w:top w:val="nil"/>
          <w:left w:val="nil"/>
          <w:bottom w:val="nil"/>
          <w:right w:val="nil"/>
          <w:between w:val="nil"/>
        </w:pBdr>
        <w:spacing w:after="0"/>
        <w:ind w:right="398"/>
        <w:rPr>
          <w:color w:val="1F2023"/>
          <w:sz w:val="22"/>
          <w:szCs w:val="22"/>
        </w:rPr>
      </w:pPr>
      <w:r>
        <w:rPr>
          <w:color w:val="000000"/>
          <w:sz w:val="22"/>
          <w:szCs w:val="22"/>
        </w:rPr>
        <w:t xml:space="preserve">Correct electrolyte abnormalities prior to EXXUA initiation. In patients with electrolyte abnormalities, who are receiving diuretics or </w:t>
      </w:r>
      <w:r>
        <w:rPr>
          <w:color w:val="1F2023"/>
          <w:sz w:val="22"/>
          <w:szCs w:val="22"/>
        </w:rPr>
        <w:t>glucocorticoids, or have a history or hypokalemia or hypomagnesemia, also monitor electrolytes during dose titration and periodically during treatment with EXXUA.</w:t>
      </w:r>
    </w:p>
    <w:p w14:paraId="25E79758" w14:textId="77777777" w:rsidR="004C1E1B" w:rsidRDefault="00000000">
      <w:pPr>
        <w:numPr>
          <w:ilvl w:val="0"/>
          <w:numId w:val="3"/>
        </w:numPr>
        <w:pBdr>
          <w:top w:val="nil"/>
          <w:left w:val="nil"/>
          <w:bottom w:val="nil"/>
          <w:right w:val="nil"/>
          <w:between w:val="nil"/>
        </w:pBdr>
        <w:spacing w:after="0"/>
        <w:ind w:right="398"/>
        <w:jc w:val="both"/>
        <w:rPr>
          <w:color w:val="000000"/>
          <w:sz w:val="22"/>
          <w:szCs w:val="22"/>
        </w:rPr>
      </w:pPr>
      <w:r>
        <w:rPr>
          <w:color w:val="000000"/>
          <w:sz w:val="22"/>
          <w:szCs w:val="22"/>
        </w:rPr>
        <w:t>Perform an ECG prior to EXXUA initiation, during dosage titration, and periodically during treatment. Monitor patients with ECGs more frequently:</w:t>
      </w:r>
    </w:p>
    <w:p w14:paraId="40A5CCE8" w14:textId="77777777" w:rsidR="004C1E1B" w:rsidRDefault="00000000">
      <w:pPr>
        <w:numPr>
          <w:ilvl w:val="2"/>
          <w:numId w:val="2"/>
        </w:numPr>
        <w:pBdr>
          <w:top w:val="nil"/>
          <w:left w:val="nil"/>
          <w:bottom w:val="nil"/>
          <w:right w:val="nil"/>
          <w:between w:val="nil"/>
        </w:pBdr>
        <w:tabs>
          <w:tab w:val="left" w:pos="1156"/>
        </w:tabs>
        <w:spacing w:after="0"/>
        <w:ind w:left="1080"/>
        <w:rPr>
          <w:color w:val="000000"/>
          <w:sz w:val="22"/>
          <w:szCs w:val="22"/>
        </w:rPr>
      </w:pPr>
      <w:r>
        <w:rPr>
          <w:color w:val="000000"/>
          <w:sz w:val="22"/>
          <w:szCs w:val="22"/>
        </w:rPr>
        <w:t>If EXXUA is used concomitantly with drugs known to prolong the QT interval</w:t>
      </w:r>
      <w:r>
        <w:rPr>
          <w:i/>
          <w:iCs/>
          <w:color w:val="000000"/>
          <w:sz w:val="22"/>
          <w:szCs w:val="22"/>
        </w:rPr>
        <w:t>.</w:t>
      </w:r>
    </w:p>
    <w:p w14:paraId="33B2B421" w14:textId="77777777" w:rsidR="004C1E1B" w:rsidRDefault="00000000">
      <w:pPr>
        <w:numPr>
          <w:ilvl w:val="2"/>
          <w:numId w:val="2"/>
        </w:numPr>
        <w:pBdr>
          <w:top w:val="nil"/>
          <w:left w:val="nil"/>
          <w:bottom w:val="nil"/>
          <w:right w:val="nil"/>
          <w:between w:val="nil"/>
        </w:pBdr>
        <w:tabs>
          <w:tab w:val="left" w:pos="1156"/>
        </w:tabs>
        <w:spacing w:after="0"/>
        <w:ind w:left="1080" w:right="481"/>
        <w:rPr>
          <w:color w:val="000000"/>
          <w:sz w:val="22"/>
          <w:szCs w:val="22"/>
        </w:rPr>
      </w:pPr>
      <w:r>
        <w:rPr>
          <w:color w:val="000000"/>
          <w:sz w:val="22"/>
          <w:szCs w:val="22"/>
        </w:rPr>
        <w:t xml:space="preserve">In patients who develop QTc ≥ 450 msec during treatment with EXXUA. Do not escalate the EXXUA dosage if </w:t>
      </w:r>
      <w:proofErr w:type="spellStart"/>
      <w:r>
        <w:rPr>
          <w:color w:val="000000"/>
          <w:sz w:val="22"/>
          <w:szCs w:val="22"/>
        </w:rPr>
        <w:t>QTcF</w:t>
      </w:r>
      <w:proofErr w:type="spellEnd"/>
      <w:r>
        <w:rPr>
          <w:color w:val="000000"/>
          <w:sz w:val="22"/>
          <w:szCs w:val="22"/>
        </w:rPr>
        <w:t xml:space="preserve"> is &gt; 450 msec.</w:t>
      </w:r>
    </w:p>
    <w:p w14:paraId="69B51347" w14:textId="77777777" w:rsidR="004C1E1B" w:rsidRDefault="00000000">
      <w:pPr>
        <w:numPr>
          <w:ilvl w:val="2"/>
          <w:numId w:val="2"/>
        </w:numPr>
        <w:pBdr>
          <w:top w:val="nil"/>
          <w:left w:val="nil"/>
          <w:bottom w:val="nil"/>
          <w:right w:val="nil"/>
          <w:between w:val="nil"/>
        </w:pBdr>
        <w:tabs>
          <w:tab w:val="left" w:pos="1155"/>
        </w:tabs>
        <w:spacing w:after="0"/>
        <w:ind w:left="1080" w:right="1065"/>
        <w:rPr>
          <w:color w:val="000000"/>
          <w:sz w:val="22"/>
          <w:szCs w:val="22"/>
        </w:rPr>
      </w:pPr>
      <w:r>
        <w:rPr>
          <w:color w:val="000000"/>
          <w:sz w:val="22"/>
          <w:szCs w:val="22"/>
        </w:rPr>
        <w:t xml:space="preserve">In patients with a significant risk of developing torsade de pointes, including those with uncontrolled or significant cardiac disease, recent myocardial infarction, heart failure, unstable angina, </w:t>
      </w:r>
      <w:proofErr w:type="spellStart"/>
      <w:r>
        <w:rPr>
          <w:color w:val="000000"/>
          <w:sz w:val="22"/>
          <w:szCs w:val="22"/>
        </w:rPr>
        <w:t>bradyarrhythmias</w:t>
      </w:r>
      <w:proofErr w:type="spellEnd"/>
      <w:r>
        <w:rPr>
          <w:color w:val="000000"/>
          <w:sz w:val="22"/>
          <w:szCs w:val="22"/>
        </w:rPr>
        <w:t>, uncontrolled hypertension, high degree atrioventricular block, severe aortic stenosis, or uncontrolled hypothyroidism.</w:t>
      </w:r>
    </w:p>
    <w:p w14:paraId="62B17AF5" w14:textId="77777777" w:rsidR="004C1E1B" w:rsidRDefault="00000000">
      <w:pPr>
        <w:numPr>
          <w:ilvl w:val="0"/>
          <w:numId w:val="3"/>
        </w:numPr>
        <w:pBdr>
          <w:top w:val="nil"/>
          <w:left w:val="nil"/>
          <w:bottom w:val="nil"/>
          <w:right w:val="nil"/>
          <w:between w:val="nil"/>
        </w:pBdr>
        <w:rPr>
          <w:color w:val="000000"/>
          <w:sz w:val="22"/>
          <w:szCs w:val="22"/>
        </w:rPr>
      </w:pPr>
      <w:r>
        <w:rPr>
          <w:color w:val="000000"/>
          <w:sz w:val="22"/>
          <w:szCs w:val="22"/>
        </w:rPr>
        <w:t>Reduce the EXXUA dosage when used concomitantly with moderate CYP3A4 inhibitors, as they may increase EXXUA concentrations.</w:t>
      </w:r>
    </w:p>
    <w:p w14:paraId="4DC705FC" w14:textId="77777777" w:rsidR="004C1E1B" w:rsidRDefault="00000000">
      <w:pPr>
        <w:pStyle w:val="Heading2"/>
        <w:tabs>
          <w:tab w:val="left" w:pos="1155"/>
        </w:tabs>
        <w:spacing w:before="0"/>
        <w:ind w:left="360"/>
        <w:rPr>
          <w:rFonts w:ascii="Aptos" w:eastAsia="Aptos" w:hAnsi="Aptos" w:cs="Aptos"/>
          <w:color w:val="000000"/>
          <w:sz w:val="22"/>
          <w:szCs w:val="22"/>
        </w:rPr>
      </w:pPr>
      <w:r>
        <w:rPr>
          <w:rFonts w:ascii="Aptos" w:eastAsia="Aptos" w:hAnsi="Aptos" w:cs="Aptos"/>
          <w:b/>
          <w:bCs/>
          <w:color w:val="000000"/>
          <w:sz w:val="22"/>
          <w:szCs w:val="22"/>
        </w:rPr>
        <w:t>Serotonin Syndrome</w:t>
      </w:r>
    </w:p>
    <w:p w14:paraId="673D6D7C" w14:textId="77777777" w:rsidR="004C1E1B" w:rsidRDefault="00000000">
      <w:pPr>
        <w:ind w:left="360"/>
        <w:rPr>
          <w:color w:val="000000"/>
          <w:sz w:val="22"/>
          <w:szCs w:val="22"/>
        </w:rPr>
      </w:pPr>
      <w:r>
        <w:rPr>
          <w:color w:val="000000"/>
          <w:sz w:val="22"/>
          <w:szCs w:val="22"/>
        </w:rPr>
        <w:t>Concomitant use of EXXUA with SSRIs or tricyclic antidepressants may cause serotonin syndrome, a potentially life-threatening condition with changes including altered mental status, hypertension, restlessness, myoclonus, hyperthermia, hyperreflexia, diaphoresis, shivering, and tremor. The concomitant use of EXXUA with MAOIs is contraindicated. In addition, do not initiate EXXUA in a patient being treated with MAOIs such as linezolid or intravenous methylene blue. If it is necessary to initiate treatment with an MAOI such as linezolid or intravenous methylene blue in a patient taking EXXUA discontinue EXXUA before initiating treatment with the MAOI.</w:t>
      </w:r>
    </w:p>
    <w:p w14:paraId="3A9E1F30" w14:textId="77777777" w:rsidR="004C1E1B" w:rsidRDefault="00000000">
      <w:pPr>
        <w:spacing w:after="0"/>
        <w:ind w:left="6480"/>
        <w:rPr>
          <w:color w:val="231F20"/>
          <w:sz w:val="22"/>
          <w:szCs w:val="22"/>
        </w:rPr>
      </w:pPr>
      <w:r>
        <w:rPr>
          <w:color w:val="231F20"/>
          <w:sz w:val="22"/>
          <w:szCs w:val="22"/>
        </w:rPr>
        <w:t>(Continued on next page)</w:t>
      </w:r>
    </w:p>
    <w:p w14:paraId="5F1F58EA" w14:textId="77777777" w:rsidR="004C1E1B" w:rsidRDefault="004C1E1B">
      <w:pPr>
        <w:ind w:left="360"/>
        <w:rPr>
          <w:color w:val="000000"/>
          <w:sz w:val="22"/>
          <w:szCs w:val="22"/>
        </w:rPr>
      </w:pPr>
    </w:p>
    <w:p w14:paraId="173B2A19" w14:textId="29F0BA48" w:rsidR="004C1E1B" w:rsidRDefault="004C1E1B"/>
    <w:p w14:paraId="53CAB7C7" w14:textId="77777777" w:rsidR="004C1E1B" w:rsidRDefault="00000000">
      <w:pPr>
        <w:ind w:left="360"/>
        <w:rPr>
          <w:color w:val="000000"/>
          <w:sz w:val="22"/>
          <w:szCs w:val="22"/>
        </w:rPr>
      </w:pPr>
      <w:r>
        <w:rPr>
          <w:b/>
          <w:bCs/>
          <w:color w:val="000000"/>
          <w:sz w:val="22"/>
          <w:szCs w:val="22"/>
        </w:rPr>
        <w:lastRenderedPageBreak/>
        <w:t>IMPORTANT SAFETY INFORMATION (</w:t>
      </w:r>
      <w:proofErr w:type="spellStart"/>
      <w:r>
        <w:rPr>
          <w:b/>
          <w:bCs/>
          <w:color w:val="000000"/>
          <w:sz w:val="22"/>
          <w:szCs w:val="22"/>
        </w:rPr>
        <w:t>cont</w:t>
      </w:r>
      <w:proofErr w:type="spellEnd"/>
      <w:r>
        <w:rPr>
          <w:b/>
          <w:bCs/>
          <w:color w:val="000000"/>
          <w:sz w:val="22"/>
          <w:szCs w:val="22"/>
        </w:rPr>
        <w:t>)</w:t>
      </w:r>
      <w:r>
        <w:rPr>
          <w:color w:val="000000"/>
          <w:sz w:val="22"/>
          <w:szCs w:val="22"/>
        </w:rPr>
        <w:t xml:space="preserve"> </w:t>
      </w:r>
    </w:p>
    <w:p w14:paraId="22F93E10" w14:textId="77777777" w:rsidR="004C1E1B" w:rsidRDefault="00000000">
      <w:pPr>
        <w:ind w:right="-101" w:firstLine="360"/>
        <w:rPr>
          <w:color w:val="000000"/>
          <w:sz w:val="22"/>
          <w:szCs w:val="22"/>
        </w:rPr>
      </w:pPr>
      <w:r>
        <w:rPr>
          <w:b/>
          <w:bCs/>
          <w:color w:val="000000"/>
          <w:sz w:val="22"/>
          <w:szCs w:val="22"/>
        </w:rPr>
        <w:t>WARNINGS AND PRECAUTIONS (</w:t>
      </w:r>
      <w:proofErr w:type="spellStart"/>
      <w:r>
        <w:rPr>
          <w:b/>
          <w:bCs/>
          <w:color w:val="000000"/>
          <w:sz w:val="22"/>
          <w:szCs w:val="22"/>
        </w:rPr>
        <w:t>cont</w:t>
      </w:r>
      <w:proofErr w:type="spellEnd"/>
      <w:r>
        <w:rPr>
          <w:b/>
          <w:bCs/>
          <w:color w:val="000000"/>
          <w:sz w:val="22"/>
          <w:szCs w:val="22"/>
        </w:rPr>
        <w:t>)</w:t>
      </w:r>
      <w:r>
        <w:rPr>
          <w:color w:val="000000"/>
          <w:sz w:val="22"/>
          <w:szCs w:val="22"/>
        </w:rPr>
        <w:t xml:space="preserve"> </w:t>
      </w:r>
    </w:p>
    <w:p w14:paraId="4ECEAD73" w14:textId="77777777" w:rsidR="004C1E1B" w:rsidRDefault="00000000">
      <w:pPr>
        <w:pStyle w:val="Heading2"/>
        <w:tabs>
          <w:tab w:val="left" w:pos="1155"/>
        </w:tabs>
        <w:spacing w:before="0"/>
        <w:ind w:left="360"/>
        <w:rPr>
          <w:rFonts w:ascii="Aptos" w:eastAsia="Aptos" w:hAnsi="Aptos" w:cs="Aptos"/>
          <w:color w:val="000000"/>
          <w:sz w:val="22"/>
          <w:szCs w:val="22"/>
        </w:rPr>
      </w:pPr>
      <w:r>
        <w:rPr>
          <w:rFonts w:ascii="Aptos" w:eastAsia="Aptos" w:hAnsi="Aptos" w:cs="Aptos"/>
          <w:b/>
          <w:bCs/>
          <w:color w:val="000000"/>
          <w:sz w:val="22"/>
          <w:szCs w:val="22"/>
        </w:rPr>
        <w:t>Serotonin Syndrome (</w:t>
      </w:r>
      <w:proofErr w:type="spellStart"/>
      <w:r>
        <w:rPr>
          <w:rFonts w:ascii="Aptos" w:eastAsia="Aptos" w:hAnsi="Aptos" w:cs="Aptos"/>
          <w:b/>
          <w:bCs/>
          <w:color w:val="000000"/>
          <w:sz w:val="22"/>
          <w:szCs w:val="22"/>
        </w:rPr>
        <w:t>cont</w:t>
      </w:r>
      <w:proofErr w:type="spellEnd"/>
      <w:r>
        <w:rPr>
          <w:rFonts w:ascii="Aptos" w:eastAsia="Aptos" w:hAnsi="Aptos" w:cs="Aptos"/>
          <w:b/>
          <w:bCs/>
          <w:color w:val="000000"/>
          <w:sz w:val="22"/>
          <w:szCs w:val="22"/>
        </w:rPr>
        <w:t>)</w:t>
      </w:r>
    </w:p>
    <w:p w14:paraId="69E0F31C" w14:textId="77777777" w:rsidR="004C1E1B" w:rsidRDefault="00000000">
      <w:pPr>
        <w:ind w:left="360" w:right="296"/>
      </w:pPr>
      <w:r>
        <w:rPr>
          <w:color w:val="000000"/>
          <w:sz w:val="22"/>
          <w:szCs w:val="22"/>
        </w:rPr>
        <w:t xml:space="preserve">If concomitant use of EXXUA with other serotonergic drugs is clinically warranted, inform patients of the increased risk for serotonin syndrome and monitor for symptoms. Discontinue EXXUA and/or concomitant serotonergic drug immediately if the above symptoms occur and initiate supportive symptomatic treatment. </w:t>
      </w:r>
    </w:p>
    <w:p w14:paraId="75DB6D4F" w14:textId="77777777" w:rsidR="004C1E1B" w:rsidRDefault="00000000">
      <w:pPr>
        <w:pStyle w:val="Heading2"/>
        <w:spacing w:line="240" w:lineRule="auto"/>
        <w:ind w:left="360" w:right="296"/>
        <w:rPr>
          <w:rFonts w:ascii="Aptos" w:eastAsia="Aptos" w:hAnsi="Aptos" w:cs="Aptos"/>
          <w:color w:val="000000"/>
          <w:sz w:val="22"/>
          <w:szCs w:val="22"/>
        </w:rPr>
      </w:pPr>
      <w:r>
        <w:rPr>
          <w:rFonts w:ascii="Aptos" w:eastAsia="Aptos" w:hAnsi="Aptos" w:cs="Aptos"/>
          <w:b/>
          <w:bCs/>
          <w:color w:val="000000"/>
          <w:sz w:val="22"/>
          <w:szCs w:val="22"/>
        </w:rPr>
        <w:t>Activation of Mania or Hypomania</w:t>
      </w:r>
    </w:p>
    <w:p w14:paraId="7DFD5E5D" w14:textId="77777777" w:rsidR="004C1E1B" w:rsidRDefault="00000000">
      <w:pPr>
        <w:spacing w:line="240" w:lineRule="auto"/>
        <w:ind w:left="360" w:right="296"/>
        <w:rPr>
          <w:color w:val="000000"/>
          <w:sz w:val="22"/>
          <w:szCs w:val="22"/>
        </w:rPr>
      </w:pPr>
      <w:r>
        <w:rPr>
          <w:color w:val="000000"/>
          <w:sz w:val="22"/>
          <w:szCs w:val="22"/>
        </w:rPr>
        <w:t>Antidepressant treatment can precipitate a manic, mixed, or hypomanic manic episode. The risk appears to be increased in patients with bipolar disorder or who have risk factors for bipolar disorder. Prior to initiating treatment with EXXUA, screen patients for a history of bipolar disorder and the presence of risk factors for bipolar disorder (e.g., family history of bipolar disorder, suicide, or depression).</w:t>
      </w:r>
      <w:r>
        <w:rPr>
          <w:i/>
          <w:iCs/>
          <w:color w:val="000000"/>
          <w:sz w:val="22"/>
          <w:szCs w:val="22"/>
        </w:rPr>
        <w:t xml:space="preserve"> </w:t>
      </w:r>
      <w:r>
        <w:rPr>
          <w:color w:val="000000"/>
          <w:sz w:val="22"/>
          <w:szCs w:val="22"/>
        </w:rPr>
        <w:t>EXXUA is not approved for use in treating bipolar depression.</w:t>
      </w:r>
    </w:p>
    <w:p w14:paraId="7C1A20EC" w14:textId="77777777" w:rsidR="004C1E1B" w:rsidRDefault="00000000">
      <w:pPr>
        <w:ind w:left="360" w:right="296"/>
        <w:rPr>
          <w:color w:val="000000"/>
          <w:sz w:val="22"/>
          <w:szCs w:val="22"/>
        </w:rPr>
      </w:pPr>
      <w:r>
        <w:rPr>
          <w:b/>
          <w:bCs/>
          <w:color w:val="000000"/>
          <w:sz w:val="22"/>
          <w:szCs w:val="22"/>
        </w:rPr>
        <w:t>ADVERSE REACTIONS</w:t>
      </w:r>
    </w:p>
    <w:p w14:paraId="116E09C7" w14:textId="77777777" w:rsidR="004C1E1B" w:rsidRDefault="00000000">
      <w:pPr>
        <w:ind w:left="360"/>
        <w:rPr>
          <w:color w:val="000000"/>
          <w:sz w:val="22"/>
          <w:szCs w:val="22"/>
        </w:rPr>
      </w:pPr>
      <w:r>
        <w:rPr>
          <w:color w:val="000000"/>
          <w:sz w:val="22"/>
          <w:szCs w:val="22"/>
        </w:rPr>
        <w:t>Most common adverse reactions (incidence of ≥5% and at least twice incidence of placebo) were dizziness, nausea, insomnia, abdominal pain, and dyspepsia.</w:t>
      </w:r>
    </w:p>
    <w:p w14:paraId="4579DD80" w14:textId="77777777" w:rsidR="004C1E1B" w:rsidRDefault="00000000">
      <w:pPr>
        <w:ind w:left="360"/>
        <w:rPr>
          <w:color w:val="000000"/>
          <w:sz w:val="22"/>
          <w:szCs w:val="22"/>
        </w:rPr>
      </w:pPr>
      <w:r>
        <w:rPr>
          <w:color w:val="000000"/>
          <w:sz w:val="22"/>
          <w:szCs w:val="22"/>
        </w:rPr>
        <w:t>The following adverse reactions are discussed in greater detail in other sections of the labeling:</w:t>
      </w:r>
    </w:p>
    <w:p w14:paraId="6F3358E7" w14:textId="77777777" w:rsidR="004C1E1B" w:rsidRDefault="00000000">
      <w:pPr>
        <w:numPr>
          <w:ilvl w:val="0"/>
          <w:numId w:val="1"/>
        </w:numPr>
        <w:pBdr>
          <w:top w:val="nil"/>
          <w:left w:val="nil"/>
          <w:bottom w:val="nil"/>
          <w:right w:val="nil"/>
          <w:between w:val="nil"/>
        </w:pBdr>
        <w:tabs>
          <w:tab w:val="left" w:pos="1155"/>
        </w:tabs>
        <w:spacing w:after="0"/>
        <w:ind w:left="720"/>
        <w:rPr>
          <w:color w:val="000000"/>
          <w:sz w:val="22"/>
          <w:szCs w:val="22"/>
        </w:rPr>
      </w:pPr>
      <w:r>
        <w:rPr>
          <w:color w:val="000000"/>
          <w:sz w:val="22"/>
          <w:szCs w:val="22"/>
        </w:rPr>
        <w:t>Suicidal Thoughts and Behaviors in Adolescents and Young Adults</w:t>
      </w:r>
    </w:p>
    <w:p w14:paraId="1FE69B38" w14:textId="77777777" w:rsidR="004C1E1B" w:rsidRDefault="00000000">
      <w:pPr>
        <w:numPr>
          <w:ilvl w:val="0"/>
          <w:numId w:val="1"/>
        </w:numPr>
        <w:pBdr>
          <w:top w:val="nil"/>
          <w:left w:val="nil"/>
          <w:bottom w:val="nil"/>
          <w:right w:val="nil"/>
          <w:between w:val="nil"/>
        </w:pBdr>
        <w:tabs>
          <w:tab w:val="left" w:pos="1155"/>
        </w:tabs>
        <w:spacing w:after="0"/>
        <w:ind w:left="720"/>
        <w:rPr>
          <w:color w:val="000000"/>
          <w:sz w:val="22"/>
          <w:szCs w:val="22"/>
        </w:rPr>
      </w:pPr>
      <w:r>
        <w:rPr>
          <w:color w:val="000000"/>
          <w:sz w:val="22"/>
          <w:szCs w:val="22"/>
        </w:rPr>
        <w:t>QT Prolongation</w:t>
      </w:r>
    </w:p>
    <w:p w14:paraId="6CDD6C36" w14:textId="77777777" w:rsidR="004C1E1B" w:rsidRDefault="00000000">
      <w:pPr>
        <w:numPr>
          <w:ilvl w:val="0"/>
          <w:numId w:val="1"/>
        </w:numPr>
        <w:pBdr>
          <w:top w:val="nil"/>
          <w:left w:val="nil"/>
          <w:bottom w:val="nil"/>
          <w:right w:val="nil"/>
          <w:between w:val="nil"/>
        </w:pBdr>
        <w:tabs>
          <w:tab w:val="left" w:pos="1156"/>
        </w:tabs>
        <w:spacing w:after="0"/>
        <w:ind w:left="720"/>
        <w:rPr>
          <w:color w:val="000000"/>
          <w:sz w:val="22"/>
          <w:szCs w:val="22"/>
        </w:rPr>
      </w:pPr>
      <w:r>
        <w:rPr>
          <w:color w:val="000000"/>
          <w:sz w:val="22"/>
          <w:szCs w:val="22"/>
        </w:rPr>
        <w:t>Serotonin Syndrome</w:t>
      </w:r>
    </w:p>
    <w:p w14:paraId="058D4EA7" w14:textId="77777777" w:rsidR="004C1E1B" w:rsidRDefault="00000000">
      <w:pPr>
        <w:numPr>
          <w:ilvl w:val="0"/>
          <w:numId w:val="1"/>
        </w:numPr>
        <w:pBdr>
          <w:top w:val="nil"/>
          <w:left w:val="nil"/>
          <w:bottom w:val="nil"/>
          <w:right w:val="nil"/>
          <w:between w:val="nil"/>
        </w:pBdr>
        <w:tabs>
          <w:tab w:val="left" w:pos="1156"/>
        </w:tabs>
        <w:ind w:left="720"/>
        <w:rPr>
          <w:color w:val="000000"/>
          <w:sz w:val="22"/>
          <w:szCs w:val="22"/>
        </w:rPr>
      </w:pPr>
      <w:r>
        <w:rPr>
          <w:color w:val="000000"/>
          <w:sz w:val="22"/>
          <w:szCs w:val="22"/>
        </w:rPr>
        <w:t>Activation of Mania or Hypomania</w:t>
      </w:r>
    </w:p>
    <w:p w14:paraId="190F19E3" w14:textId="77777777" w:rsidR="004C1E1B" w:rsidRDefault="00000000">
      <w:pPr>
        <w:pStyle w:val="Heading1"/>
        <w:tabs>
          <w:tab w:val="left" w:pos="1156"/>
        </w:tabs>
        <w:ind w:left="360"/>
        <w:rPr>
          <w:rFonts w:ascii="Aptos" w:eastAsia="Aptos" w:hAnsi="Aptos" w:cs="Aptos"/>
          <w:color w:val="000000"/>
          <w:sz w:val="22"/>
          <w:szCs w:val="22"/>
        </w:rPr>
      </w:pPr>
      <w:r>
        <w:rPr>
          <w:rFonts w:ascii="Aptos" w:eastAsia="Aptos" w:hAnsi="Aptos" w:cs="Aptos"/>
          <w:b/>
          <w:bCs/>
          <w:color w:val="000000"/>
          <w:sz w:val="22"/>
          <w:szCs w:val="22"/>
        </w:rPr>
        <w:t xml:space="preserve">To report SUSPECTED ADVERSE REACTIONS, contact </w:t>
      </w:r>
      <w:proofErr w:type="spellStart"/>
      <w:r>
        <w:rPr>
          <w:rFonts w:ascii="Aptos" w:eastAsia="Aptos" w:hAnsi="Aptos" w:cs="Aptos"/>
          <w:b/>
          <w:bCs/>
          <w:color w:val="000000"/>
          <w:sz w:val="22"/>
          <w:szCs w:val="22"/>
        </w:rPr>
        <w:t>Aytu</w:t>
      </w:r>
      <w:proofErr w:type="spellEnd"/>
      <w:r>
        <w:rPr>
          <w:rFonts w:ascii="Aptos" w:eastAsia="Aptos" w:hAnsi="Aptos" w:cs="Aptos"/>
          <w:b/>
          <w:bCs/>
          <w:color w:val="000000"/>
          <w:sz w:val="22"/>
          <w:szCs w:val="22"/>
        </w:rPr>
        <w:t xml:space="preserve"> BioPharma at 1-855-298-8246 or </w:t>
      </w:r>
      <w:r>
        <w:rPr>
          <w:rFonts w:ascii="Aptos" w:eastAsia="Aptos" w:hAnsi="Aptos" w:cs="Aptos"/>
          <w:b/>
          <w:bCs/>
          <w:sz w:val="22"/>
          <w:szCs w:val="22"/>
          <w:u w:val="single"/>
        </w:rPr>
        <w:t>http://www/exxua.com</w:t>
      </w:r>
      <w:r>
        <w:rPr>
          <w:rFonts w:ascii="Aptos" w:eastAsia="Aptos" w:hAnsi="Aptos" w:cs="Aptos"/>
          <w:b/>
          <w:bCs/>
          <w:sz w:val="22"/>
          <w:szCs w:val="22"/>
        </w:rPr>
        <w:t xml:space="preserve"> </w:t>
      </w:r>
      <w:r>
        <w:rPr>
          <w:rFonts w:ascii="Aptos" w:eastAsia="Aptos" w:hAnsi="Aptos" w:cs="Aptos"/>
          <w:b/>
          <w:bCs/>
          <w:color w:val="000000"/>
          <w:sz w:val="22"/>
          <w:szCs w:val="22"/>
        </w:rPr>
        <w:t>or FDA at 1-800-FDA-1088 or</w:t>
      </w:r>
      <w:r>
        <w:rPr>
          <w:rFonts w:ascii="Aptos" w:eastAsia="Aptos" w:hAnsi="Aptos" w:cs="Aptos"/>
          <w:color w:val="000000"/>
          <w:sz w:val="22"/>
          <w:szCs w:val="22"/>
        </w:rPr>
        <w:t xml:space="preserve"> </w:t>
      </w:r>
      <w:hyperlink r:id="rId10">
        <w:r w:rsidR="004C1E1B">
          <w:rPr>
            <w:rFonts w:ascii="Aptos" w:eastAsia="Aptos" w:hAnsi="Aptos" w:cs="Aptos"/>
            <w:b/>
            <w:bCs/>
            <w:color w:val="467886"/>
            <w:sz w:val="22"/>
            <w:szCs w:val="22"/>
            <w:u w:val="single"/>
          </w:rPr>
          <w:t>www.fda.gov/medwatch</w:t>
        </w:r>
      </w:hyperlink>
      <w:r>
        <w:rPr>
          <w:rFonts w:ascii="Aptos" w:eastAsia="Aptos" w:hAnsi="Aptos" w:cs="Aptos"/>
          <w:b/>
          <w:bCs/>
          <w:color w:val="000000"/>
          <w:sz w:val="22"/>
          <w:szCs w:val="22"/>
        </w:rPr>
        <w:t>.</w:t>
      </w:r>
    </w:p>
    <w:p w14:paraId="7360DC4C" w14:textId="77777777" w:rsidR="004C1E1B" w:rsidRDefault="00000000">
      <w:pPr>
        <w:pStyle w:val="Heading1"/>
        <w:tabs>
          <w:tab w:val="left" w:pos="886"/>
        </w:tabs>
        <w:ind w:left="360"/>
        <w:rPr>
          <w:rFonts w:ascii="Aptos" w:eastAsia="Aptos" w:hAnsi="Aptos" w:cs="Aptos"/>
          <w:color w:val="000000"/>
          <w:sz w:val="22"/>
          <w:szCs w:val="22"/>
        </w:rPr>
      </w:pPr>
      <w:r>
        <w:rPr>
          <w:rFonts w:ascii="Aptos" w:eastAsia="Aptos" w:hAnsi="Aptos" w:cs="Aptos"/>
          <w:b/>
          <w:bCs/>
          <w:color w:val="000000"/>
          <w:sz w:val="22"/>
          <w:szCs w:val="22"/>
        </w:rPr>
        <w:t>USE IN SPECIFIC POPULATIONS</w:t>
      </w:r>
    </w:p>
    <w:p w14:paraId="65F050B5" w14:textId="77777777" w:rsidR="004C1E1B" w:rsidRDefault="00000000">
      <w:pPr>
        <w:pStyle w:val="Heading2"/>
        <w:tabs>
          <w:tab w:val="left" w:pos="1155"/>
        </w:tabs>
        <w:spacing w:before="0"/>
        <w:ind w:left="360"/>
        <w:rPr>
          <w:rFonts w:ascii="Aptos" w:eastAsia="Aptos" w:hAnsi="Aptos" w:cs="Aptos"/>
          <w:color w:val="000000"/>
          <w:sz w:val="22"/>
          <w:szCs w:val="22"/>
        </w:rPr>
      </w:pPr>
      <w:r>
        <w:rPr>
          <w:rFonts w:ascii="Aptos" w:eastAsia="Aptos" w:hAnsi="Aptos" w:cs="Aptos"/>
          <w:b/>
          <w:bCs/>
          <w:color w:val="000000"/>
          <w:sz w:val="22"/>
          <w:szCs w:val="22"/>
        </w:rPr>
        <w:t>Pregnancy</w:t>
      </w:r>
    </w:p>
    <w:p w14:paraId="4F552EC2" w14:textId="77777777" w:rsidR="004C1E1B" w:rsidRDefault="00000000">
      <w:pPr>
        <w:ind w:left="360" w:right="296"/>
        <w:rPr>
          <w:color w:val="000000"/>
          <w:sz w:val="22"/>
          <w:szCs w:val="22"/>
        </w:rPr>
      </w:pPr>
      <w:r>
        <w:rPr>
          <w:color w:val="000000"/>
          <w:sz w:val="22"/>
          <w:szCs w:val="22"/>
        </w:rPr>
        <w:t>The background risk of major birth defects and miscarriage for the indicated population is unknown. In the U.S. general population, the estimated background risk of major birth defects and miscarriage in clinically recognized pregnancies is 2 to 4% and 15 to 20%, respectively.</w:t>
      </w:r>
    </w:p>
    <w:p w14:paraId="11EF9DC0" w14:textId="77777777" w:rsidR="004C1E1B" w:rsidRDefault="00000000">
      <w:pPr>
        <w:spacing w:after="0"/>
        <w:ind w:left="6480"/>
        <w:rPr>
          <w:color w:val="231F20"/>
          <w:sz w:val="22"/>
          <w:szCs w:val="22"/>
        </w:rPr>
      </w:pPr>
      <w:r>
        <w:rPr>
          <w:color w:val="231F20"/>
          <w:sz w:val="22"/>
          <w:szCs w:val="22"/>
        </w:rPr>
        <w:t>(Continued on next page)</w:t>
      </w:r>
    </w:p>
    <w:p w14:paraId="308376FD" w14:textId="77777777" w:rsidR="004C1E1B" w:rsidRDefault="004C1E1B">
      <w:pPr>
        <w:spacing w:after="0" w:line="360" w:lineRule="auto"/>
      </w:pPr>
    </w:p>
    <w:p w14:paraId="3E789024" w14:textId="77777777" w:rsidR="004C1E1B" w:rsidRDefault="00000000">
      <w:pPr>
        <w:spacing w:after="0" w:line="360" w:lineRule="auto"/>
        <w:ind w:left="360"/>
        <w:rPr>
          <w:color w:val="000000"/>
          <w:sz w:val="22"/>
          <w:szCs w:val="22"/>
        </w:rPr>
      </w:pPr>
      <w:r>
        <w:rPr>
          <w:b/>
          <w:bCs/>
          <w:color w:val="000000"/>
          <w:sz w:val="22"/>
          <w:szCs w:val="22"/>
        </w:rPr>
        <w:lastRenderedPageBreak/>
        <w:t>IMPORTANT SAFETY INFORMATION (</w:t>
      </w:r>
      <w:proofErr w:type="spellStart"/>
      <w:r>
        <w:rPr>
          <w:b/>
          <w:bCs/>
          <w:color w:val="000000"/>
          <w:sz w:val="22"/>
          <w:szCs w:val="22"/>
        </w:rPr>
        <w:t>cont</w:t>
      </w:r>
      <w:proofErr w:type="spellEnd"/>
      <w:r>
        <w:rPr>
          <w:b/>
          <w:bCs/>
          <w:color w:val="000000"/>
          <w:sz w:val="22"/>
          <w:szCs w:val="22"/>
        </w:rPr>
        <w:t>)</w:t>
      </w:r>
      <w:r>
        <w:rPr>
          <w:color w:val="000000"/>
          <w:sz w:val="22"/>
          <w:szCs w:val="22"/>
        </w:rPr>
        <w:t xml:space="preserve"> </w:t>
      </w:r>
    </w:p>
    <w:p w14:paraId="323E92D1" w14:textId="77777777" w:rsidR="004C1E1B" w:rsidRDefault="00000000">
      <w:pPr>
        <w:spacing w:after="0" w:line="360" w:lineRule="auto"/>
        <w:ind w:left="4140" w:hanging="3780"/>
        <w:rPr>
          <w:color w:val="000000"/>
          <w:sz w:val="22"/>
          <w:szCs w:val="22"/>
        </w:rPr>
      </w:pPr>
      <w:r>
        <w:rPr>
          <w:b/>
          <w:bCs/>
          <w:color w:val="000000"/>
          <w:sz w:val="22"/>
          <w:szCs w:val="22"/>
        </w:rPr>
        <w:t>USE IN SPECIFIC POPULATIONS (</w:t>
      </w:r>
      <w:proofErr w:type="spellStart"/>
      <w:r>
        <w:rPr>
          <w:b/>
          <w:bCs/>
          <w:color w:val="000000"/>
          <w:sz w:val="22"/>
          <w:szCs w:val="22"/>
        </w:rPr>
        <w:t>cont</w:t>
      </w:r>
      <w:proofErr w:type="spellEnd"/>
      <w:r>
        <w:rPr>
          <w:b/>
          <w:bCs/>
          <w:color w:val="000000"/>
          <w:sz w:val="22"/>
          <w:szCs w:val="22"/>
        </w:rPr>
        <w:t>)</w:t>
      </w:r>
      <w:r>
        <w:rPr>
          <w:color w:val="000000"/>
          <w:sz w:val="22"/>
          <w:szCs w:val="22"/>
        </w:rPr>
        <w:t xml:space="preserve"> </w:t>
      </w:r>
    </w:p>
    <w:p w14:paraId="25931852" w14:textId="77777777" w:rsidR="004C1E1B" w:rsidRDefault="00000000">
      <w:pPr>
        <w:ind w:right="-101" w:firstLine="360"/>
        <w:rPr>
          <w:color w:val="000000"/>
          <w:sz w:val="22"/>
          <w:szCs w:val="22"/>
        </w:rPr>
      </w:pPr>
      <w:r>
        <w:rPr>
          <w:b/>
          <w:bCs/>
          <w:color w:val="000000"/>
          <w:sz w:val="22"/>
          <w:szCs w:val="22"/>
        </w:rPr>
        <w:t>Pregnancy (</w:t>
      </w:r>
      <w:proofErr w:type="spellStart"/>
      <w:r>
        <w:rPr>
          <w:b/>
          <w:bCs/>
          <w:color w:val="000000"/>
          <w:sz w:val="22"/>
          <w:szCs w:val="22"/>
        </w:rPr>
        <w:t>cont</w:t>
      </w:r>
      <w:proofErr w:type="spellEnd"/>
      <w:r>
        <w:rPr>
          <w:b/>
          <w:bCs/>
          <w:color w:val="000000"/>
          <w:sz w:val="22"/>
          <w:szCs w:val="22"/>
        </w:rPr>
        <w:t>)</w:t>
      </w:r>
    </w:p>
    <w:p w14:paraId="1718C4B4" w14:textId="77777777" w:rsidR="004C1E1B" w:rsidRDefault="00000000">
      <w:pPr>
        <w:ind w:left="360" w:right="296"/>
        <w:rPr>
          <w:color w:val="000000"/>
          <w:sz w:val="22"/>
          <w:szCs w:val="22"/>
        </w:rPr>
      </w:pPr>
      <w:r>
        <w:rPr>
          <w:color w:val="000000"/>
          <w:sz w:val="22"/>
          <w:szCs w:val="22"/>
        </w:rPr>
        <w:t xml:space="preserve">There is a pregnancy exposure registry that monitors pregnancy outcomes in women exposed to antidepressants, including EXXUA, during pregnancy. Healthcare providers are encouraged to register patients by calling the National Pregnancy Registry for Antidepressants at 1-866-961-2388 or visiting online at </w:t>
      </w:r>
      <w:hyperlink r:id="rId11">
        <w:r w:rsidR="004C1E1B">
          <w:rPr>
            <w:color w:val="467886"/>
            <w:sz w:val="22"/>
            <w:szCs w:val="22"/>
            <w:u w:val="single"/>
          </w:rPr>
          <w:t>https://womensmentalhealth.org/research/pregnancyregistry/antidepressants/</w:t>
        </w:r>
      </w:hyperlink>
      <w:hyperlink r:id="rId12">
        <w:r w:rsidR="004C1E1B">
          <w:rPr>
            <w:color w:val="000000"/>
            <w:sz w:val="22"/>
            <w:szCs w:val="22"/>
          </w:rPr>
          <w:t>.</w:t>
        </w:r>
      </w:hyperlink>
    </w:p>
    <w:p w14:paraId="2C3EE8BC" w14:textId="77777777" w:rsidR="004C1E1B" w:rsidRDefault="00000000">
      <w:pPr>
        <w:spacing w:before="240" w:line="360" w:lineRule="auto"/>
        <w:ind w:left="360"/>
        <w:rPr>
          <w:color w:val="000000"/>
          <w:sz w:val="22"/>
          <w:szCs w:val="22"/>
        </w:rPr>
      </w:pPr>
      <w:r>
        <w:rPr>
          <w:b/>
          <w:bCs/>
          <w:color w:val="000000"/>
          <w:sz w:val="22"/>
          <w:szCs w:val="22"/>
        </w:rPr>
        <w:t>Lactation</w:t>
      </w:r>
    </w:p>
    <w:p w14:paraId="047348BF" w14:textId="77777777" w:rsidR="004C1E1B" w:rsidRDefault="00000000">
      <w:pPr>
        <w:ind w:left="360"/>
        <w:rPr>
          <w:color w:val="000000"/>
          <w:sz w:val="22"/>
          <w:szCs w:val="22"/>
        </w:rPr>
      </w:pPr>
      <w:r>
        <w:rPr>
          <w:color w:val="000000"/>
          <w:sz w:val="22"/>
          <w:szCs w:val="22"/>
        </w:rPr>
        <w:t xml:space="preserve">There is no data on the presence of </w:t>
      </w:r>
      <w:proofErr w:type="spellStart"/>
      <w:r>
        <w:rPr>
          <w:color w:val="000000"/>
          <w:sz w:val="22"/>
          <w:szCs w:val="22"/>
        </w:rPr>
        <w:t>gepirone</w:t>
      </w:r>
      <w:proofErr w:type="spellEnd"/>
      <w:r>
        <w:rPr>
          <w:color w:val="000000"/>
          <w:sz w:val="22"/>
          <w:szCs w:val="22"/>
        </w:rPr>
        <w:t xml:space="preserve"> in human milk, the effects on the breastfed infant, or the effects on milk production. </w:t>
      </w:r>
      <w:proofErr w:type="spellStart"/>
      <w:r>
        <w:rPr>
          <w:color w:val="000000"/>
          <w:sz w:val="22"/>
          <w:szCs w:val="22"/>
        </w:rPr>
        <w:t>Gepirone</w:t>
      </w:r>
      <w:proofErr w:type="spellEnd"/>
      <w:r>
        <w:rPr>
          <w:color w:val="000000"/>
          <w:sz w:val="22"/>
          <w:szCs w:val="22"/>
        </w:rPr>
        <w:t xml:space="preserve"> is present in rat milk</w:t>
      </w:r>
      <w:r>
        <w:rPr>
          <w:i/>
          <w:iCs/>
          <w:color w:val="000000"/>
          <w:sz w:val="22"/>
          <w:szCs w:val="22"/>
        </w:rPr>
        <w:t xml:space="preserve">. </w:t>
      </w:r>
      <w:r>
        <w:rPr>
          <w:color w:val="000000"/>
          <w:sz w:val="22"/>
          <w:szCs w:val="22"/>
        </w:rPr>
        <w:t>When a drug is present in animal milk, it is likely that the drug will be present in human milk. There are reports of breastfed infants exposed to other serotonergic antidepressants experiencing irritability, restlessness, excessive somnolence, decreased feeding, and weight loss</w:t>
      </w:r>
      <w:r>
        <w:rPr>
          <w:i/>
          <w:iCs/>
          <w:color w:val="000000"/>
          <w:sz w:val="22"/>
          <w:szCs w:val="22"/>
        </w:rPr>
        <w:t xml:space="preserve">. </w:t>
      </w:r>
      <w:r>
        <w:rPr>
          <w:color w:val="000000"/>
          <w:sz w:val="22"/>
          <w:szCs w:val="22"/>
        </w:rPr>
        <w:t>The developmental and health benefits of breastfeeding should be considered along with the mother’s clinical need for EXXUA and any adverse effects on the breastfed infant from EXXUA or from the underlying maternal condition.</w:t>
      </w:r>
    </w:p>
    <w:p w14:paraId="55BA6FB2" w14:textId="77777777" w:rsidR="004C1E1B" w:rsidRDefault="00000000">
      <w:pPr>
        <w:pStyle w:val="Heading1"/>
        <w:tabs>
          <w:tab w:val="left" w:pos="975"/>
        </w:tabs>
        <w:ind w:left="360"/>
        <w:jc w:val="both"/>
        <w:rPr>
          <w:rFonts w:ascii="Aptos" w:eastAsia="Aptos" w:hAnsi="Aptos" w:cs="Aptos"/>
          <w:color w:val="000000"/>
          <w:sz w:val="22"/>
          <w:szCs w:val="22"/>
        </w:rPr>
      </w:pPr>
      <w:r>
        <w:rPr>
          <w:rFonts w:ascii="Aptos" w:eastAsia="Aptos" w:hAnsi="Aptos" w:cs="Aptos"/>
          <w:b/>
          <w:bCs/>
          <w:color w:val="000000"/>
          <w:sz w:val="22"/>
          <w:szCs w:val="22"/>
        </w:rPr>
        <w:t>OVERDOSAGE</w:t>
      </w:r>
    </w:p>
    <w:p w14:paraId="6C5BF539" w14:textId="77777777" w:rsidR="004C1E1B" w:rsidRDefault="00000000">
      <w:pPr>
        <w:ind w:left="360" w:right="296"/>
        <w:rPr>
          <w:color w:val="000000"/>
          <w:sz w:val="22"/>
          <w:szCs w:val="22"/>
        </w:rPr>
      </w:pPr>
      <w:r>
        <w:rPr>
          <w:color w:val="000000"/>
          <w:sz w:val="22"/>
          <w:szCs w:val="22"/>
        </w:rPr>
        <w:t xml:space="preserve">In clinical studies, cases of acute ingestions up to 454 mg (6.25 times the maximum recommended dose) of EXXUA alone or in combination with other drugs, were reported. Signs and symptoms reported with overdose of EXXUA at doses up to 454 mg included vomiting and transient incomplete bundle branch block; an unknown dose of EXXUA produced altered level of consciousness and a 60-second convulsion. </w:t>
      </w:r>
      <w:r>
        <w:rPr>
          <w:b/>
          <w:bCs/>
          <w:color w:val="000000"/>
          <w:sz w:val="22"/>
          <w:szCs w:val="22"/>
        </w:rPr>
        <w:t>No specific antidotes for EXXUA are known. Consider contacting the Poison Help line</w:t>
      </w:r>
      <w:r>
        <w:br/>
      </w:r>
      <w:r>
        <w:rPr>
          <w:b/>
          <w:bCs/>
          <w:color w:val="000000"/>
          <w:sz w:val="22"/>
          <w:szCs w:val="22"/>
        </w:rPr>
        <w:t>(1-800-222-1222) or a medical toxicologist for additional overdose management recommendations.</w:t>
      </w:r>
    </w:p>
    <w:p w14:paraId="1EDB8BB0" w14:textId="77777777" w:rsidR="004C1E1B" w:rsidRDefault="00000000">
      <w:pPr>
        <w:ind w:left="360" w:right="296"/>
        <w:jc w:val="both"/>
        <w:rPr>
          <w:color w:val="000000"/>
          <w:sz w:val="22"/>
          <w:szCs w:val="22"/>
        </w:rPr>
      </w:pPr>
      <w:r>
        <w:rPr>
          <w:b/>
          <w:bCs/>
          <w:color w:val="000000"/>
          <w:sz w:val="22"/>
          <w:szCs w:val="22"/>
        </w:rPr>
        <w:t xml:space="preserve">Please click </w:t>
      </w:r>
      <w:hyperlink r:id="rId13">
        <w:r w:rsidR="004C1E1B">
          <w:rPr>
            <w:b/>
            <w:bCs/>
            <w:color w:val="467886"/>
            <w:sz w:val="22"/>
            <w:szCs w:val="22"/>
            <w:u w:val="single"/>
          </w:rPr>
          <w:t>here</w:t>
        </w:r>
      </w:hyperlink>
      <w:r>
        <w:rPr>
          <w:b/>
          <w:bCs/>
          <w:color w:val="000000"/>
          <w:sz w:val="22"/>
          <w:szCs w:val="22"/>
        </w:rPr>
        <w:t xml:space="preserve"> for Full Prescribing Information for EXXUA.</w:t>
      </w:r>
    </w:p>
    <w:p w14:paraId="678A9BB4" w14:textId="77777777" w:rsidR="004C1E1B" w:rsidRDefault="00000000">
      <w:pPr>
        <w:ind w:left="-1440"/>
        <w:jc w:val="both"/>
      </w:pPr>
      <w:r>
        <w:rPr>
          <w:noProof/>
        </w:rPr>
        <w:drawing>
          <wp:inline distT="0" distB="0" distL="114300" distR="114300" wp14:anchorId="5C99C0D0" wp14:editId="1186CEFF">
            <wp:extent cx="7753350" cy="1217674"/>
            <wp:effectExtent l="0" t="0" r="0" b="0"/>
            <wp:docPr id="3985812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7753350" cy="1217674"/>
                    </a:xfrm>
                    <a:prstGeom prst="rect">
                      <a:avLst/>
                    </a:prstGeom>
                    <a:ln/>
                  </pic:spPr>
                </pic:pic>
              </a:graphicData>
            </a:graphic>
          </wp:inline>
        </w:drawing>
      </w:r>
    </w:p>
    <w:sectPr w:rsidR="004C1E1B">
      <w:headerReference w:type="even" r:id="rId15"/>
      <w:headerReference w:type="default" r:id="rId16"/>
      <w:footerReference w:type="even" r:id="rId17"/>
      <w:footerReference w:type="default" r:id="rId18"/>
      <w:headerReference w:type="first" r:id="rId19"/>
      <w:footerReference w:type="first" r:id="rId20"/>
      <w:pgSz w:w="12240" w:h="15840"/>
      <w:pgMar w:top="2088"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76FF0A" w14:textId="77777777" w:rsidR="00B74C68" w:rsidRDefault="00B74C68">
      <w:pPr>
        <w:spacing w:after="0" w:line="240" w:lineRule="auto"/>
      </w:pPr>
      <w:r>
        <w:separator/>
      </w:r>
    </w:p>
  </w:endnote>
  <w:endnote w:type="continuationSeparator" w:id="0">
    <w:p w14:paraId="37073E2B" w14:textId="77777777" w:rsidR="00B74C68" w:rsidRDefault="00B74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1" w:fontKey="{7C3444CB-EB6E-C94A-8F61-DD6BA09992DE}"/>
  </w:font>
  <w:font w:name="Aptos">
    <w:panose1 w:val="020B0004020202020204"/>
    <w:charset w:val="00"/>
    <w:family w:val="swiss"/>
    <w:pitch w:val="variable"/>
    <w:sig w:usb0="20000287" w:usb1="00000003" w:usb2="00000000" w:usb3="00000000" w:csb0="0000019F" w:csb1="00000000"/>
    <w:embedRegular r:id="rId2" w:fontKey="{177700A1-37A2-1A48-A00C-7976823AAC81}"/>
    <w:embedBold r:id="rId3" w:fontKey="{FAEB856A-09B1-5449-9B25-A748364B64EA}"/>
    <w:embedItalic r:id="rId4" w:fontKey="{54139628-4B1E-C54A-BE6F-8E1A0A17EE8B}"/>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5" w:fontKey="{2DE35970-8BB9-2F4B-97CC-8E6810169ECB}"/>
  </w:font>
  <w:font w:name="Georgia">
    <w:panose1 w:val="02040502050405020303"/>
    <w:charset w:val="00"/>
    <w:family w:val="roman"/>
    <w:pitch w:val="variable"/>
    <w:sig w:usb0="00000287" w:usb1="00000000" w:usb2="00000000" w:usb3="00000000" w:csb0="0000009F" w:csb1="00000000"/>
    <w:embedItalic r:id="rId6" w:fontKey="{5B9CF1EB-288E-4149-BE91-AE2F8E070794}"/>
  </w:font>
  <w:font w:name="Helvetica Neue">
    <w:panose1 w:val="02000503000000020004"/>
    <w:charset w:val="00"/>
    <w:family w:val="auto"/>
    <w:pitch w:val="variable"/>
    <w:sig w:usb0="E50002FF" w:usb1="500079DB" w:usb2="00000010" w:usb3="00000000" w:csb0="00000001" w:csb1="00000000"/>
  </w:font>
  <w:font w:name="Aptos Display">
    <w:panose1 w:val="020B0004020202020204"/>
    <w:charset w:val="00"/>
    <w:family w:val="swiss"/>
    <w:pitch w:val="variable"/>
    <w:sig w:usb0="20000287" w:usb1="00000003" w:usb2="00000000" w:usb3="00000000" w:csb0="0000019F" w:csb1="00000000"/>
    <w:embedRegular r:id="rId8" w:fontKey="{F338E5EB-8F05-7247-A906-5D63A7DAA0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2593B" w14:textId="77777777" w:rsidR="004C1E1B" w:rsidRDefault="004C1E1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6D739" w14:textId="77777777" w:rsidR="004C1E1B" w:rsidRDefault="004C1E1B">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4CA9A" w14:textId="77777777" w:rsidR="004C1E1B" w:rsidRDefault="004C1E1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719D30" w14:textId="77777777" w:rsidR="00B74C68" w:rsidRDefault="00B74C68">
      <w:pPr>
        <w:spacing w:after="0" w:line="240" w:lineRule="auto"/>
      </w:pPr>
      <w:r>
        <w:separator/>
      </w:r>
    </w:p>
  </w:footnote>
  <w:footnote w:type="continuationSeparator" w:id="0">
    <w:p w14:paraId="792272E2" w14:textId="77777777" w:rsidR="00B74C68" w:rsidRDefault="00B74C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14BF4" w14:textId="77777777" w:rsidR="004C1E1B" w:rsidRDefault="004C1E1B">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DD734" w14:textId="77777777" w:rsidR="004C1E1B" w:rsidRDefault="004C1E1B">
    <w:pPr>
      <w:widowControl w:val="0"/>
      <w:pBdr>
        <w:top w:val="nil"/>
        <w:left w:val="nil"/>
        <w:bottom w:val="nil"/>
        <w:right w:val="nil"/>
        <w:between w:val="nil"/>
      </w:pBdr>
      <w:spacing w:after="0" w:line="276" w:lineRule="auto"/>
      <w:rPr>
        <w:color w:val="000000"/>
      </w:rPr>
    </w:pPr>
  </w:p>
  <w:tbl>
    <w:tblPr>
      <w:tblStyle w:val="a"/>
      <w:tblW w:w="3120" w:type="dxa"/>
      <w:tblLayout w:type="fixed"/>
      <w:tblLook w:val="0600" w:firstRow="0" w:lastRow="0" w:firstColumn="0" w:lastColumn="0" w:noHBand="1" w:noVBand="1"/>
    </w:tblPr>
    <w:tblGrid>
      <w:gridCol w:w="3120"/>
    </w:tblGrid>
    <w:tr w:rsidR="004C1E1B" w14:paraId="4A718332" w14:textId="77777777">
      <w:trPr>
        <w:trHeight w:val="300"/>
      </w:trPr>
      <w:tc>
        <w:tcPr>
          <w:tcW w:w="3120" w:type="dxa"/>
        </w:tcPr>
        <w:p w14:paraId="6715CD4A" w14:textId="77777777" w:rsidR="004C1E1B" w:rsidRDefault="004C1E1B">
          <w:pPr>
            <w:pBdr>
              <w:top w:val="nil"/>
              <w:left w:val="nil"/>
              <w:bottom w:val="nil"/>
              <w:right w:val="nil"/>
              <w:between w:val="nil"/>
            </w:pBdr>
            <w:tabs>
              <w:tab w:val="center" w:pos="4680"/>
              <w:tab w:val="right" w:pos="9360"/>
            </w:tabs>
            <w:spacing w:after="0" w:line="240" w:lineRule="auto"/>
            <w:jc w:val="center"/>
            <w:rPr>
              <w:color w:val="000000"/>
            </w:rPr>
          </w:pPr>
        </w:p>
      </w:tc>
    </w:tr>
  </w:tbl>
  <w:p w14:paraId="7FC303E8" w14:textId="77777777" w:rsidR="004C1E1B" w:rsidRDefault="004C1E1B">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CC216" w14:textId="77777777" w:rsidR="004C1E1B" w:rsidRDefault="004C1E1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A71A31"/>
    <w:multiLevelType w:val="multilevel"/>
    <w:tmpl w:val="109479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357467"/>
    <w:multiLevelType w:val="multilevel"/>
    <w:tmpl w:val="C038C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0247441"/>
    <w:multiLevelType w:val="multilevel"/>
    <w:tmpl w:val="63CE48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ECC3D62"/>
    <w:multiLevelType w:val="multilevel"/>
    <w:tmpl w:val="31BC54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34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6C657D7"/>
    <w:multiLevelType w:val="multilevel"/>
    <w:tmpl w:val="2392DB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7EA1E16"/>
    <w:multiLevelType w:val="multilevel"/>
    <w:tmpl w:val="BCD4B9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56732669">
    <w:abstractNumId w:val="2"/>
  </w:num>
  <w:num w:numId="2" w16cid:durableId="1715739306">
    <w:abstractNumId w:val="3"/>
  </w:num>
  <w:num w:numId="3" w16cid:durableId="1634948960">
    <w:abstractNumId w:val="5"/>
  </w:num>
  <w:num w:numId="4" w16cid:durableId="1099912165">
    <w:abstractNumId w:val="0"/>
  </w:num>
  <w:num w:numId="5" w16cid:durableId="1849370437">
    <w:abstractNumId w:val="4"/>
  </w:num>
  <w:num w:numId="6" w16cid:durableId="4534761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E1B"/>
    <w:rsid w:val="00405632"/>
    <w:rsid w:val="004C1E1B"/>
    <w:rsid w:val="00784235"/>
    <w:rsid w:val="00822B50"/>
    <w:rsid w:val="008454D6"/>
    <w:rsid w:val="00B223C3"/>
    <w:rsid w:val="00B74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6E33CDA"/>
  <w15:docId w15:val="{B58A559E-8231-4149-BE8A-28EACD01C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7F562C57"/>
    <w:pPr>
      <w:ind w:left="720"/>
      <w:contextualSpacing/>
    </w:pPr>
  </w:style>
  <w:style w:type="paragraph" w:styleId="Header">
    <w:name w:val="header"/>
    <w:basedOn w:val="Normal"/>
    <w:uiPriority w:val="99"/>
    <w:unhideWhenUsed/>
    <w:rsid w:val="7F562C57"/>
    <w:pPr>
      <w:tabs>
        <w:tab w:val="center" w:pos="4680"/>
        <w:tab w:val="right" w:pos="9360"/>
      </w:tabs>
      <w:spacing w:after="0" w:line="240" w:lineRule="auto"/>
    </w:pPr>
  </w:style>
  <w:style w:type="paragraph" w:styleId="Footer">
    <w:name w:val="footer"/>
    <w:basedOn w:val="Normal"/>
    <w:uiPriority w:val="99"/>
    <w:unhideWhenUsed/>
    <w:rsid w:val="7F562C57"/>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22F5D022"/>
    <w:rPr>
      <w:color w:val="467886"/>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Revision">
    <w:name w:val="Revision"/>
    <w:hidden/>
    <w:uiPriority w:val="99"/>
    <w:semiHidden/>
    <w:rsid w:val="00822B5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exxua.com/pdf/exxua-prescribing-information.pdf"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omensmentalhealth.org/research/pregnancyregistry/antidepressant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omensmentalhealth.org/research/pregnancyregistry/antidepressant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fda.gov/medwatch"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xxua.com/pdf/exxua-prescribing-information.pdf" TargetMode="External"/><Relationship Id="rId14" Type="http://schemas.openxmlformats.org/officeDocument/2006/relationships/image" Target="media/image2.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11J9ygqaQZe6fpfgeWVbsuXLrQ==">CgMxLjAyDmguN3ppeGJ4YWJkeGt3OAByITFBSnhGMzRIa1NBTEM0OE1DblhfRGpZZ2szY09qUEN4Qw==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2274</Words>
  <Characters>12966</Characters>
  <Application>Microsoft Office Word</Application>
  <DocSecurity>0</DocSecurity>
  <Lines>108</Lines>
  <Paragraphs>30</Paragraphs>
  <ScaleCrop>false</ScaleCrop>
  <Company/>
  <LinksUpToDate>false</LinksUpToDate>
  <CharactersWithSpaces>15210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Tomo Asanovic</dc:creator>
  <cp:lastModifiedBy>Fox, Chelsea ext. /BDF HPN</cp:lastModifiedBy>
  <cp:revision>3</cp:revision>
  <dcterms:created xsi:type="dcterms:W3CDTF">2025-11-14T15:30:00Z</dcterms:created>
  <dcterms:modified xsi:type="dcterms:W3CDTF">2025-11-14T21:42:00Z</dcterms:modified>
</cp:coreProperties>
</file>